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0A283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 w:eastAsia="pt-BR"/>
        </w:rPr>
        <w:t>PROJETO DE LEI ORDINÁRIA DO LEGISLATIVO Nº 017/2024</w:t>
      </w:r>
    </w:p>
    <w:p w14:paraId="1B7D11B6">
      <w:pPr>
        <w:widowControl/>
        <w:autoSpaceDE/>
        <w:autoSpaceDN/>
        <w:spacing w:line="360" w:lineRule="auto"/>
        <w:jc w:val="both"/>
        <w:rPr>
          <w:rFonts w:ascii="Arial" w:hAnsi="Arial" w:cs="Arial"/>
          <w:b w:val="0"/>
          <w:bCs/>
          <w:color w:val="000000"/>
          <w:lang w:val="pt-BR" w:eastAsia="pt-BR"/>
        </w:rPr>
      </w:pPr>
      <w:r>
        <w:rPr>
          <w:rFonts w:ascii="Arial" w:hAnsi="Arial" w:cs="Arial"/>
          <w:b w:val="0"/>
          <w:bCs/>
          <w:color w:val="000000"/>
          <w:lang w:val="pt-BR" w:eastAsia="pt-BR"/>
        </w:rPr>
        <w:t>De 08 de agosto de 2024</w:t>
      </w:r>
    </w:p>
    <w:p w14:paraId="2537E0D3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lang w:val="pt-BR" w:eastAsia="pt-BR"/>
        </w:rPr>
      </w:pPr>
    </w:p>
    <w:p w14:paraId="0BB435ED">
      <w:pPr>
        <w:widowControl/>
        <w:autoSpaceDE/>
        <w:autoSpaceDN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 w:eastAsia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 w:eastAsia="pt-BR"/>
        </w:rPr>
        <w:t>AUTORES: Elder Gobbi</w:t>
      </w:r>
      <w:r>
        <w:rPr>
          <w:rFonts w:hint="default" w:ascii="Arial" w:hAnsi="Arial" w:cs="Arial"/>
          <w:b/>
          <w:color w:val="000000"/>
          <w:sz w:val="24"/>
          <w:szCs w:val="24"/>
          <w:lang w:val="en-US" w:eastAsia="pt-BR"/>
        </w:rPr>
        <w:t xml:space="preserve"> </w:t>
      </w:r>
      <w:r>
        <w:rPr>
          <w:rFonts w:hint="default" w:ascii="Arial" w:hAnsi="Arial" w:cs="Arial"/>
          <w:b w:val="0"/>
          <w:bCs/>
          <w:color w:val="000000"/>
          <w:sz w:val="24"/>
          <w:szCs w:val="24"/>
          <w:lang w:val="en-US" w:eastAsia="pt-BR"/>
        </w:rPr>
        <w:t>e</w:t>
      </w:r>
      <w:r>
        <w:rPr>
          <w:rFonts w:ascii="Arial" w:hAnsi="Arial" w:cs="Arial"/>
          <w:b/>
          <w:color w:val="000000"/>
          <w:sz w:val="24"/>
          <w:szCs w:val="24"/>
          <w:lang w:val="pt-BR" w:eastAsia="pt-BR"/>
        </w:rPr>
        <w:t xml:space="preserve"> Elizeu Francisco de Oliveira </w:t>
      </w:r>
    </w:p>
    <w:p w14:paraId="213EABAA">
      <w:pPr>
        <w:adjustRightInd w:val="0"/>
        <w:ind w:left="4536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</w:p>
    <w:p w14:paraId="31714C8E">
      <w:pPr>
        <w:adjustRightInd w:val="0"/>
        <w:ind w:left="396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SÚMULA: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DISPÕE SOBRE O TRAÇADO E A DENOMINAÇÃO D</w:t>
      </w:r>
      <w:r>
        <w:rPr>
          <w:rFonts w:hint="default" w:ascii="Arial" w:hAnsi="Arial" w:cs="Arial"/>
          <w:sz w:val="24"/>
          <w:szCs w:val="24"/>
          <w:lang w:val="en-US" w:eastAsia="pt-BR"/>
        </w:rPr>
        <w:t>E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CICLOVIA E DÁ OUTRAS PROVIDÊNCIAS.</w:t>
      </w:r>
    </w:p>
    <w:p w14:paraId="7E659C3C">
      <w:pPr>
        <w:widowControl/>
        <w:autoSpaceDE/>
        <w:autoSpaceDN/>
        <w:ind w:left="396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384BF13A">
      <w:pPr>
        <w:widowControl/>
        <w:autoSpaceDE/>
        <w:autoSpaceDN/>
        <w:ind w:left="2835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3CBAC018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Art. 1º.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Fica </w:t>
      </w:r>
      <w:r>
        <w:rPr>
          <w:rFonts w:hint="default" w:ascii="Arial" w:hAnsi="Arial" w:cs="Arial"/>
          <w:sz w:val="24"/>
          <w:szCs w:val="24"/>
          <w:lang w:val="en-US" w:eastAsia="pt-BR"/>
        </w:rPr>
        <w:t>denominado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</w:t>
      </w:r>
      <w:r>
        <w:rPr>
          <w:rFonts w:hint="default" w:ascii="Arial" w:hAnsi="Arial" w:cs="Arial"/>
          <w:sz w:val="24"/>
          <w:szCs w:val="24"/>
          <w:lang w:val="en-US" w:eastAsia="pt-BR"/>
        </w:rPr>
        <w:t>de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</w:t>
      </w:r>
      <w:r>
        <w:rPr>
          <w:rFonts w:ascii="Arial" w:hAnsi="Arial" w:cs="Arial"/>
          <w:b/>
          <w:sz w:val="24"/>
          <w:szCs w:val="24"/>
          <w:lang w:val="pt-BR" w:eastAsia="pt-BR"/>
        </w:rPr>
        <w:t xml:space="preserve">Ciclovia “Vó Gema” </w:t>
      </w:r>
      <w:r>
        <w:rPr>
          <w:rFonts w:hint="default" w:ascii="Arial" w:hAnsi="Arial" w:cs="Arial"/>
          <w:b w:val="0"/>
          <w:bCs/>
          <w:sz w:val="24"/>
          <w:szCs w:val="24"/>
          <w:lang w:val="en-US" w:eastAsia="pt-BR"/>
        </w:rPr>
        <w:t>c</w:t>
      </w:r>
      <w:r>
        <w:rPr>
          <w:rFonts w:ascii="Arial" w:hAnsi="Arial" w:cs="Arial"/>
          <w:sz w:val="24"/>
          <w:szCs w:val="24"/>
          <w:lang w:val="pt-BR" w:eastAsia="pt-BR"/>
        </w:rPr>
        <w:t xml:space="preserve">om o traçado de </w:t>
      </w:r>
      <w:r>
        <w:rPr>
          <w:rFonts w:ascii="Arial" w:hAnsi="Arial" w:cs="Arial"/>
          <w:b/>
          <w:sz w:val="24"/>
          <w:szCs w:val="24"/>
          <w:lang w:val="pt-BR" w:eastAsia="pt-BR"/>
        </w:rPr>
        <w:t>25,5 km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(vinte e cinco, virgula  cinco quilômetros) de extensão, tendo seu início paralelo a Avenida Brasil, seguindo a Estrada Municipal Linha do Borges encerrando o Traçado na Rodovia Estadual MT-010 com as seguintes coordenadas, iniciando no vértice </w:t>
      </w:r>
      <w:r>
        <w:rPr>
          <w:rFonts w:ascii="Arial" w:hAnsi="Arial" w:cs="Arial"/>
          <w:b/>
          <w:sz w:val="24"/>
          <w:szCs w:val="24"/>
          <w:lang w:val="pt-BR" w:eastAsia="pt-BR"/>
        </w:rPr>
        <w:t>V1</w:t>
      </w:r>
      <w:r>
        <w:rPr>
          <w:rFonts w:ascii="Arial" w:hAnsi="Arial" w:cs="Arial"/>
          <w:sz w:val="24"/>
          <w:szCs w:val="24"/>
          <w:lang w:val="pt-BR" w:eastAsia="pt-BR"/>
        </w:rPr>
        <w:t xml:space="preserve">, de coordenadas </w:t>
      </w:r>
      <w:r>
        <w:rPr>
          <w:rFonts w:ascii="Arial" w:hAnsi="Arial" w:cs="Arial"/>
          <w:b/>
          <w:sz w:val="24"/>
          <w:szCs w:val="24"/>
          <w:lang w:val="pt-BR" w:eastAsia="pt-BR"/>
        </w:rPr>
        <w:t>N 8.590.869,80 E 552.892,50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com 25,5 km de extensão até o vértice </w:t>
      </w:r>
      <w:r>
        <w:rPr>
          <w:rFonts w:ascii="Arial" w:hAnsi="Arial" w:cs="Arial"/>
          <w:b/>
          <w:sz w:val="24"/>
          <w:szCs w:val="24"/>
          <w:lang w:val="pt-BR" w:eastAsia="pt-BR"/>
        </w:rPr>
        <w:t>V2</w:t>
      </w:r>
      <w:r>
        <w:rPr>
          <w:rFonts w:ascii="Arial" w:hAnsi="Arial" w:cs="Arial"/>
          <w:sz w:val="24"/>
          <w:szCs w:val="24"/>
          <w:lang w:val="pt-BR" w:eastAsia="pt-BR"/>
        </w:rPr>
        <w:t xml:space="preserve">, de coordenadas </w:t>
      </w:r>
      <w:r>
        <w:rPr>
          <w:rFonts w:ascii="Arial" w:hAnsi="Arial" w:cs="Arial"/>
          <w:b/>
          <w:sz w:val="24"/>
          <w:szCs w:val="24"/>
          <w:lang w:val="pt-BR" w:eastAsia="pt-BR"/>
        </w:rPr>
        <w:t>N 8.597.195,80 E 569.961,10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 ponto final da descrição deste traçado.</w:t>
      </w:r>
    </w:p>
    <w:p w14:paraId="2EC66B28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74FCBAAA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line="360" w:lineRule="auto"/>
        <w:ind w:firstLine="709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Art. 2°.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A presente ciclovia passa a integrar a malha viária Municipal.</w:t>
      </w:r>
    </w:p>
    <w:p w14:paraId="56367FAB">
      <w:pPr>
        <w:widowControl/>
        <w:autoSpaceDE/>
        <w:autoSpaceDN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Parágrafo único</w:t>
      </w:r>
      <w:r>
        <w:rPr>
          <w:rFonts w:ascii="Arial" w:hAnsi="Arial" w:cs="Arial"/>
          <w:sz w:val="24"/>
          <w:szCs w:val="24"/>
          <w:lang w:val="pt-BR" w:eastAsia="pt-BR"/>
        </w:rPr>
        <w:t>. Integra a presente lei a imagem via satélite (mapa).</w:t>
      </w:r>
    </w:p>
    <w:p w14:paraId="40A85595">
      <w:pPr>
        <w:widowControl/>
        <w:autoSpaceDE/>
        <w:autoSpaceDN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14570B10">
      <w:pPr>
        <w:widowControl/>
        <w:autoSpaceDE/>
        <w:autoSpaceDN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Art. 3º.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 Esta lei tem fulcro legal na legislação municipal vigente, 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pt-BR" w:eastAsia="pt-BR"/>
        </w:rPr>
        <w:t>respeitando todos os direitos normativos à espécie.</w:t>
      </w:r>
    </w:p>
    <w:p w14:paraId="4AB6AC2F">
      <w:pPr>
        <w:widowControl/>
        <w:autoSpaceDE/>
        <w:autoSpaceDN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7ECA4AF6">
      <w:pPr>
        <w:widowControl/>
        <w:autoSpaceDE/>
        <w:autoSpaceDN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>Art. 4º</w:t>
      </w:r>
      <w:r>
        <w:rPr>
          <w:rFonts w:ascii="Arial" w:hAnsi="Arial" w:cs="Arial"/>
          <w:sz w:val="24"/>
          <w:szCs w:val="24"/>
          <w:lang w:val="pt-BR" w:eastAsia="pt-BR"/>
        </w:rPr>
        <w:t>. Esta lei entrará em vigor na data de sua publicação, revogadas as disposições em contrário.</w:t>
      </w:r>
    </w:p>
    <w:p w14:paraId="73FBF6C8">
      <w:pPr>
        <w:widowControl/>
        <w:autoSpaceDE/>
        <w:autoSpaceDN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4A0C113D">
      <w:pPr>
        <w:widowControl/>
        <w:autoSpaceDE/>
        <w:autoSpaceDN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sz w:val="24"/>
          <w:szCs w:val="24"/>
          <w:lang w:val="pt-BR" w:eastAsia="pt-BR"/>
        </w:rPr>
        <w:t>Câmara Municipal de Tapurah, Estado de Mato Grosso, aos oito dias do mês de agosto de 2024.</w:t>
      </w:r>
    </w:p>
    <w:p w14:paraId="364653BD">
      <w:pPr>
        <w:widowControl/>
        <w:autoSpaceDE/>
        <w:autoSpaceDN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64EE04C6">
      <w:pPr>
        <w:widowControl/>
        <w:autoSpaceDE/>
        <w:autoSpaceDN/>
        <w:ind w:firstLine="1701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  <w:r>
        <w:rPr>
          <w:rFonts w:ascii="Arial" w:hAnsi="Arial" w:cs="Arial"/>
          <w:b/>
          <w:sz w:val="24"/>
          <w:szCs w:val="24"/>
          <w:lang w:val="pt-BR" w:eastAsia="pt-BR"/>
        </w:rPr>
        <w:t xml:space="preserve">                                           </w:t>
      </w:r>
    </w:p>
    <w:tbl>
      <w:tblPr>
        <w:tblStyle w:val="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9"/>
        <w:gridCol w:w="4249"/>
      </w:tblGrid>
      <w:tr w14:paraId="06A1C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9" w:type="dxa"/>
          </w:tcPr>
          <w:p w14:paraId="33FE18A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sz w:val="24"/>
                <w:szCs w:val="24"/>
                <w:lang w:val="pt-BR"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 w:eastAsia="pt-BR"/>
              </w:rPr>
              <w:t>Elder Gobbi</w:t>
            </w:r>
          </w:p>
        </w:tc>
        <w:tc>
          <w:tcPr>
            <w:tcW w:w="4249" w:type="dxa"/>
          </w:tcPr>
          <w:p w14:paraId="5F01A0B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sz w:val="24"/>
                <w:szCs w:val="24"/>
                <w:lang w:val="pt-BR"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pt-BR" w:eastAsia="pt-BR"/>
              </w:rPr>
              <w:t>Elizeu Francisco de Oliveira</w:t>
            </w:r>
          </w:p>
        </w:tc>
      </w:tr>
      <w:tr w14:paraId="72892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9" w:type="dxa"/>
          </w:tcPr>
          <w:p w14:paraId="4460DBE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sz w:val="24"/>
                <w:szCs w:val="24"/>
                <w:lang w:val="pt-BR"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pt-BR" w:eastAsia="pt-BR"/>
              </w:rPr>
              <w:t>Vereador</w:t>
            </w:r>
          </w:p>
        </w:tc>
        <w:tc>
          <w:tcPr>
            <w:tcW w:w="4249" w:type="dxa"/>
          </w:tcPr>
          <w:p w14:paraId="333E4E5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pt-BR" w:eastAsia="pt-BR"/>
              </w:rPr>
              <w:t>Vereador</w:t>
            </w:r>
          </w:p>
        </w:tc>
      </w:tr>
    </w:tbl>
    <w:p w14:paraId="3F2AF7BD">
      <w:pPr>
        <w:widowControl/>
        <w:autoSpaceDE/>
        <w:autoSpaceDN/>
        <w:ind w:firstLine="1701"/>
        <w:jc w:val="both"/>
        <w:rPr>
          <w:rFonts w:ascii="Arial" w:hAnsi="Arial" w:cs="Arial"/>
          <w:b/>
          <w:sz w:val="24"/>
          <w:szCs w:val="24"/>
          <w:lang w:val="pt-BR" w:eastAsia="pt-BR"/>
        </w:rPr>
      </w:pPr>
    </w:p>
    <w:p w14:paraId="08B909DA">
      <w:pPr>
        <w:widowControl/>
        <w:autoSpaceDE/>
        <w:autoSpaceDN/>
        <w:ind w:firstLine="1701"/>
        <w:jc w:val="both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sz w:val="24"/>
          <w:szCs w:val="24"/>
          <w:lang w:val="pt-BR" w:eastAsia="pt-BR"/>
        </w:rPr>
        <w:t xml:space="preserve">                                             </w:t>
      </w:r>
    </w:p>
    <w:p w14:paraId="63FA3525">
      <w:pPr>
        <w:pStyle w:val="4"/>
        <w:spacing w:before="1"/>
        <w:rPr>
          <w:sz w:val="23"/>
        </w:rPr>
        <w:sectPr>
          <w:headerReference r:id="rId3" w:type="default"/>
          <w:type w:val="continuous"/>
          <w:pgSz w:w="11910" w:h="16840"/>
          <w:pgMar w:top="1418" w:right="1701" w:bottom="851" w:left="1701" w:header="578" w:footer="0" w:gutter="0"/>
          <w:pgNumType w:start="1"/>
          <w:cols w:space="720" w:num="1"/>
        </w:sectPr>
      </w:pPr>
    </w:p>
    <w:p w14:paraId="3A0DF990">
      <w:pPr>
        <w:widowControl/>
        <w:autoSpaceDE/>
        <w:autoSpaceDN/>
        <w:spacing w:before="120" w:after="120"/>
        <w:jc w:val="center"/>
        <w:rPr>
          <w:rFonts w:ascii="Arial" w:hAnsi="Arial" w:cs="Arial"/>
          <w:sz w:val="23"/>
          <w:szCs w:val="23"/>
          <w:lang w:val="pt-BR" w:eastAsia="pt-BR"/>
        </w:rPr>
      </w:pPr>
      <w:r>
        <w:rPr>
          <w:rFonts w:ascii="Arial" w:hAnsi="Arial" w:cs="Arial"/>
          <w:sz w:val="23"/>
          <w:szCs w:val="23"/>
          <w:lang w:val="pt-BR" w:eastAsia="pt-BR"/>
        </w:rPr>
        <w:t>ANEXOS</w:t>
      </w:r>
    </w:p>
    <w:p w14:paraId="5C9E7EA9">
      <w:pPr>
        <w:pStyle w:val="4"/>
        <w:ind w:left="-284" w:right="3093"/>
        <w:jc w:val="center"/>
        <w:rPr>
          <w:rFonts w:ascii="Arial" w:hAnsi="Arial" w:cs="Arial"/>
        </w:rPr>
      </w:pPr>
      <w:r>
        <w:rPr>
          <w:rFonts w:ascii="Arial" w:hAnsi="Arial" w:cs="Arial"/>
          <w:lang w:val="pt-BR" w:eastAsia="pt-BR"/>
        </w:rPr>
        <w:drawing>
          <wp:inline distT="0" distB="0" distL="0" distR="0">
            <wp:extent cx="9740900" cy="442531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40900" cy="442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91AE1">
      <w:pPr>
        <w:pStyle w:val="4"/>
        <w:ind w:right="3093"/>
        <w:jc w:val="center"/>
        <w:rPr>
          <w:rFonts w:ascii="Arial" w:hAnsi="Arial" w:cs="Arial"/>
        </w:rPr>
      </w:pPr>
    </w:p>
    <w:p w14:paraId="31C3EB37">
      <w:pPr>
        <w:pStyle w:val="4"/>
        <w:ind w:right="3093"/>
        <w:rPr>
          <w:rFonts w:ascii="Arial" w:hAnsi="Arial" w:cs="Arial"/>
        </w:rPr>
      </w:pPr>
    </w:p>
    <w:sectPr>
      <w:pgSz w:w="16840" w:h="11910" w:orient="landscape"/>
      <w:pgMar w:top="740" w:right="280" w:bottom="1020" w:left="1220" w:header="578" w:footer="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100EF">
    <w:pPr>
      <w:pStyle w:val="5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sz w:val="33"/>
        <w:szCs w:val="33"/>
      </w:rPr>
      <w:t>CAMARA MUNICIPAL DE TAPURAH</w:t>
    </w:r>
  </w:p>
  <w:p w14:paraId="737876B5">
    <w:pPr>
      <w:pStyle w:val="5"/>
      <w:jc w:val="center"/>
      <w:rPr>
        <w:rFonts w:ascii="Arial" w:hAnsi="Arial" w:cs="Arial"/>
        <w:b/>
        <w:sz w:val="33"/>
        <w:szCs w:val="33"/>
      </w:rPr>
    </w:pPr>
    <w:r>
      <w:rPr>
        <w:lang w:val="pt-BR" w:eastAsia="pt-BR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9525"/>
          <wp:wrapThrough wrapText="bothSides">
            <wp:wrapPolygon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3"/>
        <w:szCs w:val="33"/>
      </w:rPr>
      <w:t>ESTADO DE MATO GROSSO</w:t>
    </w:r>
  </w:p>
  <w:p w14:paraId="043C5B24">
    <w:pPr>
      <w:pStyle w:val="5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CNPJ: 33.005.083.0001/60</w:t>
    </w:r>
  </w:p>
  <w:p w14:paraId="3CC04AE1">
    <w:pPr>
      <w:pStyle w:val="5"/>
      <w:jc w:val="center"/>
      <w:rPr>
        <w:rFonts w:ascii="Arial" w:hAnsi="Arial" w:cs="Arial"/>
        <w:b/>
        <w:bCs/>
        <w:sz w:val="12"/>
        <w:szCs w:val="12"/>
      </w:rPr>
    </w:pPr>
  </w:p>
  <w:p w14:paraId="2132392E">
    <w:pPr>
      <w:pStyle w:val="5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14:paraId="0193E4BA">
    <w:pPr>
      <w:pStyle w:val="5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14:paraId="05F5F952">
    <w:pPr>
      <w:pStyle w:val="5"/>
    </w:pPr>
  </w:p>
  <w:p w14:paraId="35DFF6DD">
    <w:pPr>
      <w:pStyle w:val="4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E8A"/>
    <w:rsid w:val="000A5EF0"/>
    <w:rsid w:val="001866BD"/>
    <w:rsid w:val="001D6FE9"/>
    <w:rsid w:val="001D7A80"/>
    <w:rsid w:val="00212F60"/>
    <w:rsid w:val="00321E32"/>
    <w:rsid w:val="004F0F93"/>
    <w:rsid w:val="0075234F"/>
    <w:rsid w:val="00752712"/>
    <w:rsid w:val="007D4DE1"/>
    <w:rsid w:val="007E3C06"/>
    <w:rsid w:val="008002D4"/>
    <w:rsid w:val="008200BE"/>
    <w:rsid w:val="00875A1E"/>
    <w:rsid w:val="00883126"/>
    <w:rsid w:val="00A26BB6"/>
    <w:rsid w:val="00AD3E8A"/>
    <w:rsid w:val="00AE44ED"/>
    <w:rsid w:val="00B037C4"/>
    <w:rsid w:val="00B23E3E"/>
    <w:rsid w:val="00C2590C"/>
    <w:rsid w:val="00C4286D"/>
    <w:rsid w:val="00CD0435"/>
    <w:rsid w:val="00E95FE2"/>
    <w:rsid w:val="00F57212"/>
    <w:rsid w:val="00F610AF"/>
    <w:rsid w:val="00F90B96"/>
    <w:rsid w:val="68AD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4"/>
      <w:szCs w:val="24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Balloon Text"/>
    <w:basedOn w:val="1"/>
    <w:link w:val="14"/>
    <w:semiHidden/>
    <w:unhideWhenUsed/>
    <w:qFormat/>
    <w:uiPriority w:val="99"/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Cabeçalho Char"/>
    <w:basedOn w:val="2"/>
    <w:link w:val="5"/>
    <w:qFormat/>
    <w:uiPriority w:val="99"/>
    <w:rPr>
      <w:rFonts w:ascii="Times New Roman" w:hAnsi="Times New Roman" w:eastAsia="Times New Roman" w:cs="Times New Roman"/>
      <w:lang w:val="pt-PT"/>
    </w:rPr>
  </w:style>
  <w:style w:type="character" w:customStyle="1" w:styleId="13">
    <w:name w:val="Rodapé Char"/>
    <w:basedOn w:val="2"/>
    <w:link w:val="6"/>
    <w:qFormat/>
    <w:uiPriority w:val="99"/>
    <w:rPr>
      <w:rFonts w:ascii="Times New Roman" w:hAnsi="Times New Roman" w:eastAsia="Times New Roman" w:cs="Times New Roman"/>
      <w:lang w:val="pt-PT"/>
    </w:rPr>
  </w:style>
  <w:style w:type="character" w:customStyle="1" w:styleId="14">
    <w:name w:val="Texto de balão Char"/>
    <w:basedOn w:val="2"/>
    <w:link w:val="7"/>
    <w:semiHidden/>
    <w:qFormat/>
    <w:uiPriority w:val="99"/>
    <w:rPr>
      <w:rFonts w:ascii="Segoe UI" w:hAnsi="Segoe UI" w:eastAsia="Times New Roman" w:cs="Segoe UI"/>
      <w:sz w:val="18"/>
      <w:szCs w:val="18"/>
      <w:lang w:val="pt-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221</Words>
  <Characters>1198</Characters>
  <Lines>9</Lines>
  <Paragraphs>2</Paragraphs>
  <TotalTime>24</TotalTime>
  <ScaleCrop>false</ScaleCrop>
  <LinksUpToDate>false</LinksUpToDate>
  <CharactersWithSpaces>1417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2024-08-07T18:50:00Z</dcterms:created>
  <dc:creator>Izabel Difon</dc:creator>
  <cp:lastModifiedBy>Amarildo</cp:lastModifiedBy>
  <cp:lastPrinted>2024-08-08T17:21:40Z</cp:lastPrinted>
  <dcterms:modified xsi:type="dcterms:W3CDTF">2024-08-08T17:35:02Z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2024-07-09T00:00:00Z</vt:filetime>
  </property>
  <property fmtid="{D5CDD505-2E9C-101B-9397-08002B2CF9AE}" pid="5" name="KSOProductBuildVer">
    <vt:lpwstr>1046-12.2.0.17153</vt:lpwstr>
  </property>
  <property fmtid="{D5CDD505-2E9C-101B-9397-08002B2CF9AE}" pid="6" name="ICV">
    <vt:lpwstr>07AAE67B8049485E90AFFC1168BE1D69_12</vt:lpwstr>
  </property>
</Properties>
</file>