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615ED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PARECER DA COMISSÃO DE FINANÇAS E ORÇAMENTO</w:t>
      </w:r>
    </w:p>
    <w:p w14:paraId="7F53E229" w14:textId="48FB37E1" w:rsidR="004C792C" w:rsidRPr="004C792C" w:rsidRDefault="004C792C" w:rsidP="004C792C">
      <w:r w:rsidRPr="004C792C">
        <w:t>Nº 99/2025</w:t>
      </w:r>
    </w:p>
    <w:p w14:paraId="50184085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Projeto de Lei nº 102/2025 – LOA 2026</w:t>
      </w:r>
    </w:p>
    <w:p w14:paraId="4D701172" w14:textId="77777777" w:rsidR="004C792C" w:rsidRPr="004C792C" w:rsidRDefault="004C792C" w:rsidP="004C792C">
      <w:pPr>
        <w:ind w:left="3540"/>
        <w:jc w:val="both"/>
      </w:pPr>
      <w:r w:rsidRPr="004C792C">
        <w:rPr>
          <w:b/>
          <w:bCs/>
        </w:rPr>
        <w:t>“Estima a Receita e Fixa a Despesa do Município de Santo Antônio do Sudoeste para o Exercício de 2026.”</w:t>
      </w:r>
    </w:p>
    <w:p w14:paraId="5F5A282A" w14:textId="78C479C7" w:rsidR="004C792C" w:rsidRPr="004C792C" w:rsidRDefault="004C792C" w:rsidP="004C792C"/>
    <w:p w14:paraId="18C94A70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RELATÓRIO</w:t>
      </w:r>
    </w:p>
    <w:p w14:paraId="7D396773" w14:textId="77777777" w:rsidR="004C792C" w:rsidRPr="004C792C" w:rsidRDefault="004C792C" w:rsidP="004C792C">
      <w:pPr>
        <w:jc w:val="both"/>
      </w:pPr>
      <w:r w:rsidRPr="004C792C">
        <w:t xml:space="preserve">Trata-se da análise do </w:t>
      </w:r>
      <w:r w:rsidRPr="004C792C">
        <w:rPr>
          <w:b/>
          <w:bCs/>
        </w:rPr>
        <w:t>Projeto de Lei nº 102/2025</w:t>
      </w:r>
      <w:r w:rsidRPr="004C792C">
        <w:t xml:space="preserve">, encaminhado pelo Poder Executivo Municipal, que dispõe sobre a </w:t>
      </w:r>
      <w:r w:rsidRPr="004C792C">
        <w:rPr>
          <w:b/>
          <w:bCs/>
        </w:rPr>
        <w:t>estimativa da receita e a fixação da despesa</w:t>
      </w:r>
      <w:r w:rsidRPr="004C792C">
        <w:t xml:space="preserve"> do Município de Santo Antônio do Sudoeste para o exercício financeiro de 2026.</w:t>
      </w:r>
    </w:p>
    <w:p w14:paraId="1E42B2E5" w14:textId="77777777" w:rsidR="004C792C" w:rsidRPr="004C792C" w:rsidRDefault="004C792C" w:rsidP="004C792C">
      <w:pPr>
        <w:jc w:val="both"/>
      </w:pPr>
      <w:r w:rsidRPr="004C792C">
        <w:t>O projeto está instruído com:</w:t>
      </w:r>
    </w:p>
    <w:p w14:paraId="7FD5C870" w14:textId="77777777" w:rsidR="004C792C" w:rsidRPr="004C792C" w:rsidRDefault="004C792C" w:rsidP="004C792C">
      <w:pPr>
        <w:numPr>
          <w:ilvl w:val="0"/>
          <w:numId w:val="1"/>
        </w:numPr>
        <w:jc w:val="both"/>
      </w:pPr>
      <w:r w:rsidRPr="004C792C">
        <w:t>Quadro de estimativa de receitas por categorias econômicas;</w:t>
      </w:r>
    </w:p>
    <w:p w14:paraId="47777B4E" w14:textId="77777777" w:rsidR="004C792C" w:rsidRPr="004C792C" w:rsidRDefault="004C792C" w:rsidP="004C792C">
      <w:pPr>
        <w:numPr>
          <w:ilvl w:val="0"/>
          <w:numId w:val="1"/>
        </w:numPr>
        <w:jc w:val="both"/>
      </w:pPr>
      <w:r w:rsidRPr="004C792C">
        <w:t>Quadro de despesas por órgão e função de governo;</w:t>
      </w:r>
    </w:p>
    <w:p w14:paraId="4DC23AAC" w14:textId="77777777" w:rsidR="004C792C" w:rsidRPr="004C792C" w:rsidRDefault="004C792C" w:rsidP="004C792C">
      <w:pPr>
        <w:numPr>
          <w:ilvl w:val="0"/>
          <w:numId w:val="1"/>
        </w:numPr>
        <w:jc w:val="both"/>
      </w:pPr>
      <w:r w:rsidRPr="004C792C">
        <w:t>QDD – Quadro de Detalhamento da Despesa;</w:t>
      </w:r>
    </w:p>
    <w:p w14:paraId="2F51C26F" w14:textId="77777777" w:rsidR="004C792C" w:rsidRPr="004C792C" w:rsidRDefault="004C792C" w:rsidP="004C792C">
      <w:pPr>
        <w:numPr>
          <w:ilvl w:val="0"/>
          <w:numId w:val="1"/>
        </w:numPr>
        <w:jc w:val="both"/>
      </w:pPr>
      <w:r w:rsidRPr="004C792C">
        <w:t>Demonstrativos contábeis exigidos pela legislação;</w:t>
      </w:r>
    </w:p>
    <w:p w14:paraId="6E9CF004" w14:textId="77777777" w:rsidR="004C792C" w:rsidRPr="004C792C" w:rsidRDefault="004C792C" w:rsidP="004C792C">
      <w:pPr>
        <w:numPr>
          <w:ilvl w:val="0"/>
          <w:numId w:val="1"/>
        </w:numPr>
        <w:jc w:val="both"/>
      </w:pPr>
      <w:r w:rsidRPr="004C792C">
        <w:t>Compatibilização com PPA 2026–2029 e LDO 2026;</w:t>
      </w:r>
    </w:p>
    <w:p w14:paraId="15B0C58A" w14:textId="77777777" w:rsidR="004C792C" w:rsidRPr="004C792C" w:rsidRDefault="004C792C" w:rsidP="004C792C">
      <w:pPr>
        <w:numPr>
          <w:ilvl w:val="0"/>
          <w:numId w:val="1"/>
        </w:numPr>
        <w:jc w:val="both"/>
      </w:pPr>
      <w:r w:rsidRPr="004C792C">
        <w:rPr>
          <w:b/>
          <w:bCs/>
        </w:rPr>
        <w:t>Ofício nº 62/2025</w:t>
      </w:r>
      <w:r w:rsidRPr="004C792C">
        <w:t xml:space="preserve">, enviado ao Executivo atendendo à </w:t>
      </w:r>
      <w:r w:rsidRPr="004C792C">
        <w:rPr>
          <w:b/>
          <w:bCs/>
        </w:rPr>
        <w:t>Recomendação Administrativa nº 002/2025 – GPGMPC/MPPR</w:t>
      </w:r>
      <w:r w:rsidRPr="004C792C">
        <w:t xml:space="preserve">, com a devolutiva do Município e </w:t>
      </w:r>
      <w:r w:rsidRPr="004C792C">
        <w:rPr>
          <w:b/>
          <w:bCs/>
        </w:rPr>
        <w:t>planilha contendo a relação integral de precatórios e RPVs</w:t>
      </w:r>
      <w:r w:rsidRPr="004C792C">
        <w:t>.</w:t>
      </w:r>
    </w:p>
    <w:p w14:paraId="3996EAD1" w14:textId="77777777" w:rsidR="004C792C" w:rsidRPr="004C792C" w:rsidRDefault="004C792C" w:rsidP="004C792C">
      <w:pPr>
        <w:jc w:val="both"/>
      </w:pPr>
      <w:r w:rsidRPr="004C792C">
        <w:t>Após análise preliminar, constatou-se a regularidade formal e material da proposição.</w:t>
      </w:r>
    </w:p>
    <w:p w14:paraId="6DBB29CB" w14:textId="74680232" w:rsidR="004C792C" w:rsidRPr="004C792C" w:rsidRDefault="004C792C" w:rsidP="004C792C">
      <w:pPr>
        <w:jc w:val="both"/>
      </w:pPr>
    </w:p>
    <w:p w14:paraId="403F30BB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ANÁLISE E FUNDAMENTAÇÃO</w:t>
      </w:r>
    </w:p>
    <w:p w14:paraId="533D43A2" w14:textId="77777777" w:rsidR="004C792C" w:rsidRPr="004C792C" w:rsidRDefault="004C792C" w:rsidP="004C792C">
      <w:r w:rsidRPr="004C792C">
        <w:t>A Comissão de Finanças e Orçamento, no exercício de sua competência regimental, analisou:</w:t>
      </w:r>
    </w:p>
    <w:p w14:paraId="7058858D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lastRenderedPageBreak/>
        <w:t>1. Estimativa da Receita</w:t>
      </w:r>
    </w:p>
    <w:p w14:paraId="0F085B0D" w14:textId="77777777" w:rsidR="004C792C" w:rsidRPr="004C792C" w:rsidRDefault="004C792C" w:rsidP="004C792C">
      <w:r w:rsidRPr="004C792C">
        <w:t>A receita total para o exercício de 2026 é estimada em:</w:t>
      </w:r>
    </w:p>
    <w:p w14:paraId="4E99B9B2" w14:textId="77777777" w:rsidR="004C792C" w:rsidRPr="004C792C" w:rsidRDefault="004C792C" w:rsidP="004C792C">
      <w:r w:rsidRPr="004C792C">
        <w:rPr>
          <w:b/>
          <w:bCs/>
        </w:rPr>
        <w:t>R$ 190.500.000,00</w:t>
      </w:r>
      <w:r w:rsidRPr="004C792C">
        <w:t>, distribuídos em:</w:t>
      </w:r>
    </w:p>
    <w:p w14:paraId="7A75AF70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Receitas Correntes – R$ 148.987.192,39</w:t>
      </w:r>
    </w:p>
    <w:p w14:paraId="0FD84A5C" w14:textId="77777777" w:rsidR="004C792C" w:rsidRPr="004C792C" w:rsidRDefault="004C792C" w:rsidP="004C792C">
      <w:pPr>
        <w:numPr>
          <w:ilvl w:val="0"/>
          <w:numId w:val="2"/>
        </w:numPr>
      </w:pPr>
      <w:r w:rsidRPr="004C792C">
        <w:t>Tributária: R$ 17.885.000,00</w:t>
      </w:r>
    </w:p>
    <w:p w14:paraId="77A969D6" w14:textId="77777777" w:rsidR="004C792C" w:rsidRPr="004C792C" w:rsidRDefault="004C792C" w:rsidP="004C792C">
      <w:pPr>
        <w:numPr>
          <w:ilvl w:val="0"/>
          <w:numId w:val="2"/>
        </w:numPr>
      </w:pPr>
      <w:r w:rsidRPr="004C792C">
        <w:t>Contribuições: R$ 3.020.000,00</w:t>
      </w:r>
    </w:p>
    <w:p w14:paraId="394E1C58" w14:textId="77777777" w:rsidR="004C792C" w:rsidRPr="004C792C" w:rsidRDefault="004C792C" w:rsidP="004C792C">
      <w:pPr>
        <w:numPr>
          <w:ilvl w:val="0"/>
          <w:numId w:val="2"/>
        </w:numPr>
      </w:pPr>
      <w:r w:rsidRPr="004C792C">
        <w:t>Patrimonial: R$ 1.581.192,39</w:t>
      </w:r>
    </w:p>
    <w:p w14:paraId="04A24180" w14:textId="77777777" w:rsidR="004C792C" w:rsidRPr="004C792C" w:rsidRDefault="004C792C" w:rsidP="004C792C">
      <w:pPr>
        <w:numPr>
          <w:ilvl w:val="0"/>
          <w:numId w:val="2"/>
        </w:numPr>
      </w:pPr>
      <w:r w:rsidRPr="004C792C">
        <w:t>Serviços: R$ 70.000,00</w:t>
      </w:r>
    </w:p>
    <w:p w14:paraId="5FB783B2" w14:textId="77777777" w:rsidR="004C792C" w:rsidRPr="004C792C" w:rsidRDefault="004C792C" w:rsidP="004C792C">
      <w:pPr>
        <w:numPr>
          <w:ilvl w:val="0"/>
          <w:numId w:val="2"/>
        </w:numPr>
      </w:pPr>
      <w:r w:rsidRPr="004C792C">
        <w:t>Transferências Correntes: R$ 126.156.000,00</w:t>
      </w:r>
    </w:p>
    <w:p w14:paraId="1E442659" w14:textId="77777777" w:rsidR="004C792C" w:rsidRPr="004C792C" w:rsidRDefault="004C792C" w:rsidP="004C792C">
      <w:pPr>
        <w:numPr>
          <w:ilvl w:val="0"/>
          <w:numId w:val="2"/>
        </w:numPr>
      </w:pPr>
      <w:r w:rsidRPr="004C792C">
        <w:t>Outras Receitas Correntes: R$ 275.000,00</w:t>
      </w:r>
    </w:p>
    <w:p w14:paraId="377FE047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Receitas de Capital – R$ 41.512.807,61</w:t>
      </w:r>
    </w:p>
    <w:p w14:paraId="3FCBC342" w14:textId="77777777" w:rsidR="004C792C" w:rsidRPr="004C792C" w:rsidRDefault="004C792C" w:rsidP="004C792C">
      <w:pPr>
        <w:numPr>
          <w:ilvl w:val="0"/>
          <w:numId w:val="3"/>
        </w:numPr>
      </w:pPr>
      <w:r w:rsidRPr="004C792C">
        <w:t>Operações de Crédito: R$ 5.950.000,00</w:t>
      </w:r>
    </w:p>
    <w:p w14:paraId="070E8F0D" w14:textId="77777777" w:rsidR="004C792C" w:rsidRPr="004C792C" w:rsidRDefault="004C792C" w:rsidP="004C792C">
      <w:pPr>
        <w:numPr>
          <w:ilvl w:val="0"/>
          <w:numId w:val="3"/>
        </w:numPr>
      </w:pPr>
      <w:r w:rsidRPr="004C792C">
        <w:t>Alienação de Bens: R$ 100.000,00</w:t>
      </w:r>
    </w:p>
    <w:p w14:paraId="5492918E" w14:textId="77777777" w:rsidR="004C792C" w:rsidRPr="004C792C" w:rsidRDefault="004C792C" w:rsidP="004C792C">
      <w:pPr>
        <w:numPr>
          <w:ilvl w:val="0"/>
          <w:numId w:val="3"/>
        </w:numPr>
      </w:pPr>
      <w:r w:rsidRPr="004C792C">
        <w:t>Transferências de Capital: R$ 35.462.807,61</w:t>
      </w:r>
    </w:p>
    <w:p w14:paraId="15E6D865" w14:textId="55292569" w:rsidR="004C792C" w:rsidRPr="004C792C" w:rsidRDefault="004C792C" w:rsidP="004C792C"/>
    <w:p w14:paraId="54084C11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2. Fixação da Despesa</w:t>
      </w:r>
    </w:p>
    <w:p w14:paraId="5D5B1CEA" w14:textId="77777777" w:rsidR="004C792C" w:rsidRPr="004C792C" w:rsidRDefault="004C792C" w:rsidP="004C792C">
      <w:pPr>
        <w:jc w:val="both"/>
      </w:pPr>
      <w:r w:rsidRPr="004C792C">
        <w:t>A despesa orçamentária para 2026 está fixada no mesmo montante:</w:t>
      </w:r>
      <w:r w:rsidRPr="004C792C">
        <w:br/>
      </w:r>
      <w:r w:rsidRPr="004C792C">
        <w:rPr>
          <w:b/>
          <w:bCs/>
        </w:rPr>
        <w:t>R$ 190.500.000,00</w:t>
      </w:r>
      <w:r w:rsidRPr="004C792C">
        <w:t>, distribuída entre os órgãos do Executivo e Legislativo, com destaque para:</w:t>
      </w:r>
    </w:p>
    <w:p w14:paraId="0B7116B3" w14:textId="77777777" w:rsidR="004C792C" w:rsidRPr="004C792C" w:rsidRDefault="004C792C" w:rsidP="004C792C">
      <w:pPr>
        <w:numPr>
          <w:ilvl w:val="0"/>
          <w:numId w:val="4"/>
        </w:numPr>
      </w:pPr>
      <w:r w:rsidRPr="004C792C">
        <w:t>Secretaria de Saúde: R$ 58.411.000,00</w:t>
      </w:r>
    </w:p>
    <w:p w14:paraId="0C8094C4" w14:textId="77777777" w:rsidR="004C792C" w:rsidRPr="004C792C" w:rsidRDefault="004C792C" w:rsidP="004C792C">
      <w:pPr>
        <w:numPr>
          <w:ilvl w:val="0"/>
          <w:numId w:val="4"/>
        </w:numPr>
      </w:pPr>
      <w:r w:rsidRPr="004C792C">
        <w:t>Educação, Cultura e Esporte: R$ 51.003.000,00</w:t>
      </w:r>
    </w:p>
    <w:p w14:paraId="3BD7DE79" w14:textId="77777777" w:rsidR="004C792C" w:rsidRPr="004C792C" w:rsidRDefault="004C792C" w:rsidP="004C792C">
      <w:pPr>
        <w:numPr>
          <w:ilvl w:val="0"/>
          <w:numId w:val="4"/>
        </w:numPr>
      </w:pPr>
      <w:r w:rsidRPr="004C792C">
        <w:t>Obras e Viação: R$ 22.125.525,57</w:t>
      </w:r>
    </w:p>
    <w:p w14:paraId="637E956E" w14:textId="77777777" w:rsidR="004C792C" w:rsidRPr="004C792C" w:rsidRDefault="004C792C" w:rsidP="004C792C">
      <w:pPr>
        <w:numPr>
          <w:ilvl w:val="0"/>
          <w:numId w:val="4"/>
        </w:numPr>
      </w:pPr>
      <w:r w:rsidRPr="004C792C">
        <w:t>Infraestrutura e Urbanismo: R$ 16.644.279,04</w:t>
      </w:r>
    </w:p>
    <w:p w14:paraId="0A379620" w14:textId="77777777" w:rsidR="004C792C" w:rsidRPr="004C792C" w:rsidRDefault="004C792C" w:rsidP="004C792C">
      <w:pPr>
        <w:numPr>
          <w:ilvl w:val="0"/>
          <w:numId w:val="4"/>
        </w:numPr>
      </w:pPr>
      <w:r w:rsidRPr="004C792C">
        <w:t>Assistência Social: R$ 7.437.000,00</w:t>
      </w:r>
    </w:p>
    <w:p w14:paraId="1186F217" w14:textId="77777777" w:rsidR="004C792C" w:rsidRPr="004C792C" w:rsidRDefault="004C792C" w:rsidP="004C792C">
      <w:pPr>
        <w:numPr>
          <w:ilvl w:val="0"/>
          <w:numId w:val="4"/>
        </w:numPr>
      </w:pPr>
      <w:r w:rsidRPr="004C792C">
        <w:t>Legislativo: R$ 4.155.000,00</w:t>
      </w:r>
    </w:p>
    <w:p w14:paraId="01021322" w14:textId="268D00B1" w:rsidR="004C792C" w:rsidRPr="004C792C" w:rsidRDefault="004C792C" w:rsidP="004C792C"/>
    <w:p w14:paraId="47A4AA5C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3. Conformidade Legal e Orçamentária</w:t>
      </w:r>
    </w:p>
    <w:p w14:paraId="1142C726" w14:textId="359A9B8C" w:rsidR="004C792C" w:rsidRPr="004C792C" w:rsidRDefault="004C792C" w:rsidP="004C792C">
      <w:pPr>
        <w:jc w:val="both"/>
      </w:pPr>
      <w:r w:rsidRPr="004C792C">
        <w:t>O projeto observa</w:t>
      </w:r>
      <w:r>
        <w:t xml:space="preserve"> </w:t>
      </w:r>
      <w:proofErr w:type="gramStart"/>
      <w:r>
        <w:t xml:space="preserve">a </w:t>
      </w:r>
      <w:r w:rsidRPr="004C792C">
        <w:t xml:space="preserve"> Lei</w:t>
      </w:r>
      <w:proofErr w:type="gramEnd"/>
      <w:r w:rsidRPr="004C792C">
        <w:t xml:space="preserve"> Federal nº 4.320/</w:t>
      </w:r>
      <w:proofErr w:type="gramStart"/>
      <w:r w:rsidRPr="004C792C">
        <w:t>64</w:t>
      </w:r>
      <w:r>
        <w:t>,  a</w:t>
      </w:r>
      <w:proofErr w:type="gramEnd"/>
      <w:r>
        <w:t xml:space="preserve"> </w:t>
      </w:r>
      <w:r w:rsidRPr="004C792C">
        <w:t xml:space="preserve"> Lei Complementar n</w:t>
      </w:r>
      <w:r w:rsidRPr="004C792C">
        <w:rPr>
          <w:rFonts w:ascii="Aptos" w:hAnsi="Aptos" w:cs="Aptos"/>
        </w:rPr>
        <w:t>º</w:t>
      </w:r>
      <w:r w:rsidRPr="004C792C">
        <w:t xml:space="preserve"> 101/2000 </w:t>
      </w:r>
      <w:r w:rsidRPr="004C792C">
        <w:rPr>
          <w:rFonts w:ascii="Aptos" w:hAnsi="Aptos" w:cs="Aptos"/>
        </w:rPr>
        <w:t>–</w:t>
      </w:r>
      <w:r w:rsidRPr="004C792C">
        <w:t xml:space="preserve"> </w:t>
      </w:r>
      <w:proofErr w:type="gramStart"/>
      <w:r w:rsidRPr="004C792C">
        <w:t>LRF</w:t>
      </w:r>
      <w:r>
        <w:t xml:space="preserve"> ,</w:t>
      </w:r>
      <w:proofErr w:type="gramEnd"/>
      <w:r>
        <w:t xml:space="preserve"> </w:t>
      </w:r>
      <w:r w:rsidRPr="004C792C">
        <w:t xml:space="preserve"> Lei Municipal n</w:t>
      </w:r>
      <w:r w:rsidRPr="004C792C">
        <w:rPr>
          <w:rFonts w:ascii="Aptos" w:hAnsi="Aptos" w:cs="Aptos"/>
        </w:rPr>
        <w:t>º</w:t>
      </w:r>
      <w:r w:rsidRPr="004C792C">
        <w:t xml:space="preserve"> 3.361/2025 </w:t>
      </w:r>
      <w:r w:rsidRPr="004C792C">
        <w:rPr>
          <w:rFonts w:ascii="Aptos" w:hAnsi="Aptos" w:cs="Aptos"/>
        </w:rPr>
        <w:t>–</w:t>
      </w:r>
      <w:r w:rsidRPr="004C792C">
        <w:t xml:space="preserve"> LDO </w:t>
      </w:r>
      <w:proofErr w:type="gramStart"/>
      <w:r w:rsidRPr="004C792C">
        <w:t>2026</w:t>
      </w:r>
      <w:r>
        <w:t xml:space="preserve">, </w:t>
      </w:r>
      <w:r w:rsidRPr="004C792C">
        <w:t xml:space="preserve"> Compatibiliza</w:t>
      </w:r>
      <w:r w:rsidRPr="004C792C">
        <w:rPr>
          <w:rFonts w:ascii="Aptos" w:hAnsi="Aptos" w:cs="Aptos"/>
        </w:rPr>
        <w:t>çã</w:t>
      </w:r>
      <w:r w:rsidRPr="004C792C">
        <w:t>o</w:t>
      </w:r>
      <w:proofErr w:type="gramEnd"/>
      <w:r w:rsidRPr="004C792C">
        <w:t xml:space="preserve"> com o PPA 2026</w:t>
      </w:r>
      <w:r w:rsidRPr="004C792C">
        <w:rPr>
          <w:rFonts w:ascii="Aptos" w:hAnsi="Aptos" w:cs="Aptos"/>
        </w:rPr>
        <w:t>–</w:t>
      </w:r>
      <w:r w:rsidRPr="004C792C">
        <w:t>2029</w:t>
      </w:r>
      <w:r>
        <w:t>,</w:t>
      </w:r>
      <w:r w:rsidRPr="004C792C">
        <w:t xml:space="preserve"> Limite de suplementa</w:t>
      </w:r>
      <w:r w:rsidRPr="004C792C">
        <w:rPr>
          <w:rFonts w:ascii="Aptos" w:hAnsi="Aptos" w:cs="Aptos"/>
        </w:rPr>
        <w:t>çã</w:t>
      </w:r>
      <w:r w:rsidRPr="004C792C">
        <w:t>o de at</w:t>
      </w:r>
      <w:r w:rsidRPr="004C792C">
        <w:rPr>
          <w:rFonts w:ascii="Aptos" w:hAnsi="Aptos" w:cs="Aptos"/>
        </w:rPr>
        <w:t>é</w:t>
      </w:r>
      <w:r w:rsidRPr="004C792C">
        <w:t xml:space="preserve"> 20% (art. 5</w:t>
      </w:r>
      <w:r w:rsidRPr="004C792C">
        <w:rPr>
          <w:rFonts w:ascii="Aptos" w:hAnsi="Aptos" w:cs="Aptos"/>
        </w:rPr>
        <w:t>º</w:t>
      </w:r>
      <w:r w:rsidRPr="004C792C">
        <w:t>)</w:t>
      </w:r>
      <w:r>
        <w:t xml:space="preserve">, </w:t>
      </w:r>
      <w:r w:rsidRPr="004C792C">
        <w:t xml:space="preserve"> Cumprimento de recomenda</w:t>
      </w:r>
      <w:r w:rsidRPr="004C792C">
        <w:rPr>
          <w:rFonts w:ascii="Aptos" w:hAnsi="Aptos" w:cs="Aptos"/>
        </w:rPr>
        <w:t>çõ</w:t>
      </w:r>
      <w:r w:rsidRPr="004C792C">
        <w:t>es do Minist</w:t>
      </w:r>
      <w:r w:rsidRPr="004C792C">
        <w:rPr>
          <w:rFonts w:ascii="Aptos" w:hAnsi="Aptos" w:cs="Aptos"/>
        </w:rPr>
        <w:t>é</w:t>
      </w:r>
      <w:r w:rsidRPr="004C792C">
        <w:t>rio P</w:t>
      </w:r>
      <w:r w:rsidRPr="004C792C">
        <w:rPr>
          <w:rFonts w:ascii="Aptos" w:hAnsi="Aptos" w:cs="Aptos"/>
        </w:rPr>
        <w:t>ú</w:t>
      </w:r>
      <w:r w:rsidRPr="004C792C">
        <w:t>blico</w:t>
      </w:r>
      <w:r>
        <w:t xml:space="preserve">, </w:t>
      </w:r>
      <w:r w:rsidRPr="004C792C">
        <w:t xml:space="preserve"> Exist</w:t>
      </w:r>
      <w:r w:rsidRPr="004C792C">
        <w:rPr>
          <w:rFonts w:ascii="Aptos" w:hAnsi="Aptos" w:cs="Aptos"/>
        </w:rPr>
        <w:t>ê</w:t>
      </w:r>
      <w:r w:rsidRPr="004C792C">
        <w:t>ncia de planilha de precat</w:t>
      </w:r>
      <w:r w:rsidRPr="004C792C">
        <w:rPr>
          <w:rFonts w:ascii="Aptos" w:hAnsi="Aptos" w:cs="Aptos"/>
        </w:rPr>
        <w:t>ó</w:t>
      </w:r>
      <w:r w:rsidRPr="004C792C">
        <w:t>rios e RPVs anexada</w:t>
      </w:r>
      <w:r>
        <w:t>.</w:t>
      </w:r>
    </w:p>
    <w:p w14:paraId="49DEBF0B" w14:textId="77777777" w:rsidR="004C792C" w:rsidRPr="004C792C" w:rsidRDefault="004C792C" w:rsidP="004C792C">
      <w:pPr>
        <w:jc w:val="both"/>
      </w:pPr>
      <w:r w:rsidRPr="004C792C">
        <w:t>Não há apontamentos que impeçam o regular prosseguimento.</w:t>
      </w:r>
    </w:p>
    <w:p w14:paraId="0153D25B" w14:textId="0BB6A429" w:rsidR="004C792C" w:rsidRPr="004C792C" w:rsidRDefault="004C792C" w:rsidP="004C792C"/>
    <w:p w14:paraId="07B999DF" w14:textId="77777777" w:rsidR="004C792C" w:rsidRPr="004C792C" w:rsidRDefault="004C792C" w:rsidP="004C792C">
      <w:pPr>
        <w:rPr>
          <w:b/>
          <w:bCs/>
        </w:rPr>
      </w:pPr>
      <w:r w:rsidRPr="004C792C">
        <w:rPr>
          <w:b/>
          <w:bCs/>
        </w:rPr>
        <w:t>VOTO</w:t>
      </w:r>
    </w:p>
    <w:p w14:paraId="7650A4F3" w14:textId="77777777" w:rsidR="004C792C" w:rsidRPr="004C792C" w:rsidRDefault="004C792C" w:rsidP="004C792C">
      <w:pPr>
        <w:jc w:val="both"/>
      </w:pPr>
      <w:r w:rsidRPr="004C792C">
        <w:t>Diante do exposto, a Comissão de Finanças e Orçamento manifesta-se FAVORÁVEL à aprovação do Projeto de Lei nº 102/2025, considerando-o regular, adequado e compatível com as normas legais, orçamentárias e regimentais.</w:t>
      </w:r>
    </w:p>
    <w:p w14:paraId="0ED4F8AD" w14:textId="77777777" w:rsidR="004C792C" w:rsidRPr="004C792C" w:rsidRDefault="004C792C" w:rsidP="004C792C">
      <w:r w:rsidRPr="004C792C">
        <w:t>Sala das Comissões, 17 de novembro de 2025.</w:t>
      </w:r>
    </w:p>
    <w:p w14:paraId="1B54C06B" w14:textId="09869960" w:rsidR="004C792C" w:rsidRPr="004C792C" w:rsidRDefault="004C792C" w:rsidP="004C792C"/>
    <w:p w14:paraId="0210393D" w14:textId="77777777" w:rsidR="004C792C" w:rsidRDefault="004C792C" w:rsidP="004C792C">
      <w:pPr>
        <w:ind w:left="360"/>
      </w:pPr>
      <w:r w:rsidRPr="004C792C">
        <w:rPr>
          <w:b/>
          <w:bCs/>
        </w:rPr>
        <w:t>Micheli Alves de Lima</w:t>
      </w:r>
      <w:r w:rsidRPr="004C792C">
        <w:t xml:space="preserve"> – Presidente</w:t>
      </w:r>
    </w:p>
    <w:p w14:paraId="2BA055EB" w14:textId="77777777" w:rsidR="004C792C" w:rsidRPr="004C792C" w:rsidRDefault="004C792C" w:rsidP="004C792C">
      <w:pPr>
        <w:ind w:left="360"/>
      </w:pPr>
    </w:p>
    <w:p w14:paraId="4370831F" w14:textId="77777777" w:rsidR="004C792C" w:rsidRDefault="004C792C" w:rsidP="004C792C">
      <w:pPr>
        <w:ind w:left="360"/>
      </w:pPr>
      <w:r w:rsidRPr="004C792C">
        <w:rPr>
          <w:b/>
          <w:bCs/>
        </w:rPr>
        <w:t>Cláudio Alain Guterres do Carmo</w:t>
      </w:r>
      <w:r w:rsidRPr="004C792C">
        <w:t xml:space="preserve"> – Relator</w:t>
      </w:r>
    </w:p>
    <w:p w14:paraId="27FFBB70" w14:textId="77777777" w:rsidR="004C792C" w:rsidRPr="004C792C" w:rsidRDefault="004C792C" w:rsidP="004C792C">
      <w:pPr>
        <w:ind w:left="360"/>
      </w:pPr>
    </w:p>
    <w:p w14:paraId="4E630B50" w14:textId="77777777" w:rsidR="004C792C" w:rsidRPr="004C792C" w:rsidRDefault="004C792C" w:rsidP="004C792C">
      <w:pPr>
        <w:ind w:left="360"/>
      </w:pPr>
      <w:proofErr w:type="spellStart"/>
      <w:r w:rsidRPr="004C792C">
        <w:rPr>
          <w:b/>
          <w:bCs/>
        </w:rPr>
        <w:t>Eliz</w:t>
      </w:r>
      <w:proofErr w:type="spellEnd"/>
      <w:r w:rsidRPr="004C792C">
        <w:rPr>
          <w:b/>
          <w:bCs/>
        </w:rPr>
        <w:t xml:space="preserve"> Maria </w:t>
      </w:r>
      <w:proofErr w:type="spellStart"/>
      <w:r w:rsidRPr="004C792C">
        <w:rPr>
          <w:b/>
          <w:bCs/>
        </w:rPr>
        <w:t>Gradaschi</w:t>
      </w:r>
      <w:proofErr w:type="spellEnd"/>
      <w:r w:rsidRPr="004C792C">
        <w:rPr>
          <w:b/>
          <w:bCs/>
        </w:rPr>
        <w:t xml:space="preserve"> </w:t>
      </w:r>
      <w:proofErr w:type="spellStart"/>
      <w:r w:rsidRPr="004C792C">
        <w:rPr>
          <w:b/>
          <w:bCs/>
        </w:rPr>
        <w:t>Scalon</w:t>
      </w:r>
      <w:proofErr w:type="spellEnd"/>
      <w:r w:rsidRPr="004C792C">
        <w:t xml:space="preserve"> – Secretária</w:t>
      </w:r>
    </w:p>
    <w:p w14:paraId="5113EF31" w14:textId="77777777" w:rsidR="004C792C" w:rsidRDefault="004C792C"/>
    <w:sectPr w:rsidR="004C792C" w:rsidSect="004C792C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44D13"/>
    <w:multiLevelType w:val="multilevel"/>
    <w:tmpl w:val="2A882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61D45"/>
    <w:multiLevelType w:val="multilevel"/>
    <w:tmpl w:val="50180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29657B"/>
    <w:multiLevelType w:val="multilevel"/>
    <w:tmpl w:val="D9ECA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710C39"/>
    <w:multiLevelType w:val="multilevel"/>
    <w:tmpl w:val="533C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890FC5"/>
    <w:multiLevelType w:val="multilevel"/>
    <w:tmpl w:val="423E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5007603">
    <w:abstractNumId w:val="3"/>
  </w:num>
  <w:num w:numId="2" w16cid:durableId="1419248968">
    <w:abstractNumId w:val="1"/>
  </w:num>
  <w:num w:numId="3" w16cid:durableId="624772831">
    <w:abstractNumId w:val="4"/>
  </w:num>
  <w:num w:numId="4" w16cid:durableId="345715294">
    <w:abstractNumId w:val="2"/>
  </w:num>
  <w:num w:numId="5" w16cid:durableId="1608654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92C"/>
    <w:rsid w:val="003822CC"/>
    <w:rsid w:val="004C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947E0"/>
  <w15:chartTrackingRefBased/>
  <w15:docId w15:val="{C32A79FF-D65C-40FE-B69E-D0300DFB0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C79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C7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79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C79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C79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C79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C79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C79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C79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C79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C79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79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C79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C792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C79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C79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C79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C79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C79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C79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C79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C79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C79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C79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C792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C792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C79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C792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C79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C792C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C79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439</Words>
  <Characters>2407</Characters>
  <Application>Microsoft Office Word</Application>
  <DocSecurity>0</DocSecurity>
  <Lines>63</Lines>
  <Paragraphs>27</Paragraphs>
  <ScaleCrop>false</ScaleCrop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2025-11-17T14:12:00Z</cp:lastPrinted>
  <dcterms:created xsi:type="dcterms:W3CDTF">2025-11-17T14:07:00Z</dcterms:created>
  <dcterms:modified xsi:type="dcterms:W3CDTF">2025-11-17T14:14:00Z</dcterms:modified>
</cp:coreProperties>
</file>