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220E3DFB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EE334D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342613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2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MARÇO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D671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1E8D79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342613">
        <w:rPr>
          <w:rFonts w:ascii="Arial" w:hAnsi="Arial" w:cs="Arial"/>
          <w:b/>
          <w:bCs/>
          <w:sz w:val="24"/>
          <w:szCs w:val="24"/>
        </w:rPr>
        <w:t>10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D671D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676A0A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0D671D">
        <w:rPr>
          <w:rFonts w:ascii="Arial" w:hAnsi="Arial" w:cs="Arial"/>
          <w:b/>
          <w:sz w:val="24"/>
          <w:szCs w:val="24"/>
        </w:rPr>
        <w:t>0</w:t>
      </w:r>
      <w:r w:rsidR="00342613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>/202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EE334D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0D671D">
        <w:rPr>
          <w:rFonts w:ascii="Arial" w:hAnsi="Arial" w:cs="Arial"/>
          <w:b/>
          <w:sz w:val="24"/>
          <w:szCs w:val="24"/>
        </w:rPr>
        <w:t>fevereiro</w:t>
      </w:r>
      <w:r w:rsidR="00C30CA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de 202</w:t>
      </w:r>
      <w:r w:rsidR="000D671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5E4E68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CC2936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2E51D084" w:rsidR="006F3680" w:rsidRDefault="006F3680" w:rsidP="000D671D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342613" w:rsidRPr="007931F1">
        <w:rPr>
          <w:rFonts w:ascii="Arial" w:hAnsi="Arial" w:cs="Arial"/>
          <w:i/>
          <w:iCs/>
        </w:rPr>
        <w:t>Dispõe sobre a denominação do novo cemitério público municipal localizado na AC-475, próximo à entrada do Ramal do Macário,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1D68458B" w14:textId="334CEF0E" w:rsidR="006F3680" w:rsidRPr="000D671D" w:rsidRDefault="000D671D" w:rsidP="000D671D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0D671D">
        <w:rPr>
          <w:rFonts w:ascii="Arial" w:hAnsi="Arial" w:cs="Arial"/>
          <w:b/>
          <w:sz w:val="24"/>
          <w:szCs w:val="24"/>
        </w:rPr>
        <w:t>I – RELATÓRIO ANALÍTICO:</w:t>
      </w:r>
    </w:p>
    <w:p w14:paraId="5C867208" w14:textId="38F8E841" w:rsidR="00CC2936" w:rsidRPr="00CC2936" w:rsidRDefault="006F3680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0D671D">
        <w:rPr>
          <w:rFonts w:ascii="Arial" w:hAnsi="Arial" w:cs="Arial"/>
          <w:sz w:val="24"/>
          <w:szCs w:val="24"/>
        </w:rPr>
        <w:tab/>
      </w:r>
      <w:r w:rsidR="00342613" w:rsidRPr="00342613">
        <w:rPr>
          <w:rFonts w:ascii="Arial" w:hAnsi="Arial" w:cs="Arial"/>
        </w:rPr>
        <w:t xml:space="preserve">O </w:t>
      </w:r>
      <w:r w:rsidR="00342613" w:rsidRPr="00342613">
        <w:rPr>
          <w:rFonts w:ascii="Arial" w:hAnsi="Arial" w:cs="Arial"/>
          <w:b/>
          <w:bCs/>
        </w:rPr>
        <w:t>Projeto de Lei nº 08/2026</w:t>
      </w:r>
      <w:r w:rsidR="00342613" w:rsidRPr="00342613">
        <w:rPr>
          <w:rFonts w:ascii="Arial" w:hAnsi="Arial" w:cs="Arial"/>
        </w:rPr>
        <w:t xml:space="preserve"> foi encaminhado a esta </w:t>
      </w:r>
      <w:r w:rsidR="00342613" w:rsidRPr="00342613">
        <w:rPr>
          <w:rFonts w:ascii="Arial" w:hAnsi="Arial" w:cs="Arial"/>
          <w:b/>
          <w:bCs/>
        </w:rPr>
        <w:t>Comissão de Legislação, Justiça e Redação Final</w:t>
      </w:r>
      <w:r w:rsidR="00342613" w:rsidRPr="00342613">
        <w:rPr>
          <w:rFonts w:ascii="Arial" w:hAnsi="Arial" w:cs="Arial"/>
        </w:rPr>
        <w:t xml:space="preserve">, nos termos do Regimento Interno desta Casa Legislativa, para análise quanto aos aspectos </w:t>
      </w:r>
      <w:r w:rsidR="00342613" w:rsidRPr="00342613">
        <w:rPr>
          <w:rFonts w:ascii="Arial" w:hAnsi="Arial" w:cs="Arial"/>
          <w:b/>
          <w:bCs/>
        </w:rPr>
        <w:t>constitucional, legal, jurídico e de técnica legislativa</w:t>
      </w:r>
      <w:r w:rsidR="00342613" w:rsidRPr="00342613">
        <w:rPr>
          <w:rFonts w:ascii="Arial" w:hAnsi="Arial" w:cs="Arial"/>
        </w:rPr>
        <w:t>.</w:t>
      </w:r>
    </w:p>
    <w:p w14:paraId="5DA7842D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342613">
        <w:rPr>
          <w:rFonts w:ascii="Arial" w:hAnsi="Arial" w:cs="Arial"/>
        </w:rPr>
        <w:t xml:space="preserve">A proposição tem por objetivo </w:t>
      </w:r>
      <w:r w:rsidRPr="00342613">
        <w:rPr>
          <w:rFonts w:ascii="Arial" w:hAnsi="Arial" w:cs="Arial"/>
          <w:b/>
          <w:bCs/>
        </w:rPr>
        <w:t>atribuir denominação oficial ao novo cemitério público municipal a ser construído às margens da Rodovia AC-475</w:t>
      </w:r>
      <w:r w:rsidRPr="00342613">
        <w:rPr>
          <w:rFonts w:ascii="Arial" w:hAnsi="Arial" w:cs="Arial"/>
        </w:rPr>
        <w:t xml:space="preserve">, nas proximidades da entrada do </w:t>
      </w:r>
      <w:r w:rsidRPr="00342613">
        <w:rPr>
          <w:rFonts w:ascii="Arial" w:hAnsi="Arial" w:cs="Arial"/>
          <w:b/>
          <w:bCs/>
        </w:rPr>
        <w:t>Ramal do Macário</w:t>
      </w:r>
      <w:r w:rsidRPr="00342613">
        <w:rPr>
          <w:rFonts w:ascii="Arial" w:hAnsi="Arial" w:cs="Arial"/>
        </w:rPr>
        <w:t xml:space="preserve">, no Município de Acrelândia – AC, passando a denominar-se </w:t>
      </w:r>
      <w:r w:rsidRPr="00342613">
        <w:rPr>
          <w:rFonts w:ascii="Arial" w:hAnsi="Arial" w:cs="Arial"/>
          <w:b/>
          <w:bCs/>
        </w:rPr>
        <w:t>Cemitério Municipal José Brandão Maia</w:t>
      </w:r>
      <w:r w:rsidRPr="00342613">
        <w:rPr>
          <w:rFonts w:ascii="Arial" w:hAnsi="Arial" w:cs="Arial"/>
        </w:rPr>
        <w:t>.</w:t>
      </w:r>
    </w:p>
    <w:p w14:paraId="7E86A609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342613">
        <w:rPr>
          <w:rFonts w:ascii="Arial" w:hAnsi="Arial" w:cs="Arial"/>
        </w:rPr>
        <w:t xml:space="preserve">Conforme consta na justificativa da matéria, a denominação proposta constitui </w:t>
      </w:r>
      <w:r w:rsidRPr="00342613">
        <w:rPr>
          <w:rFonts w:ascii="Arial" w:hAnsi="Arial" w:cs="Arial"/>
          <w:b/>
          <w:bCs/>
        </w:rPr>
        <w:t>homenagem ao senhor José Brandão Maia</w:t>
      </w:r>
      <w:r w:rsidRPr="00342613">
        <w:rPr>
          <w:rFonts w:ascii="Arial" w:hAnsi="Arial" w:cs="Arial"/>
        </w:rPr>
        <w:t xml:space="preserve">, cidadão que exerceu mandato de </w:t>
      </w:r>
      <w:r w:rsidRPr="00342613">
        <w:rPr>
          <w:rFonts w:ascii="Arial" w:hAnsi="Arial" w:cs="Arial"/>
          <w:b/>
          <w:bCs/>
        </w:rPr>
        <w:t>Vereador nesta municipalidade por mais de um período</w:t>
      </w:r>
      <w:r w:rsidRPr="00342613">
        <w:rPr>
          <w:rFonts w:ascii="Arial" w:hAnsi="Arial" w:cs="Arial"/>
        </w:rPr>
        <w:t xml:space="preserve">, bem como integrou o quadro de </w:t>
      </w:r>
      <w:r w:rsidRPr="00342613">
        <w:rPr>
          <w:rFonts w:ascii="Arial" w:hAnsi="Arial" w:cs="Arial"/>
          <w:b/>
          <w:bCs/>
        </w:rPr>
        <w:t>servidores efetivos do Município</w:t>
      </w:r>
      <w:r w:rsidRPr="00342613">
        <w:rPr>
          <w:rFonts w:ascii="Arial" w:hAnsi="Arial" w:cs="Arial"/>
        </w:rPr>
        <w:t>, tendo prestado relevantes serviços à comunidade acrelandense e contribuído significativamente para o desenvolvimento local.</w:t>
      </w:r>
    </w:p>
    <w:p w14:paraId="0E9C927F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342613">
        <w:rPr>
          <w:rFonts w:ascii="Arial" w:hAnsi="Arial" w:cs="Arial"/>
        </w:rPr>
        <w:t xml:space="preserve">A proposição também estabelece que caberá ao </w:t>
      </w:r>
      <w:r w:rsidRPr="00342613">
        <w:rPr>
          <w:rFonts w:ascii="Arial" w:hAnsi="Arial" w:cs="Arial"/>
          <w:b/>
          <w:bCs/>
        </w:rPr>
        <w:t>Poder Executivo Municipal adotar as providências administrativas necessárias para a identificação do local</w:t>
      </w:r>
      <w:r w:rsidRPr="00342613">
        <w:rPr>
          <w:rFonts w:ascii="Arial" w:hAnsi="Arial" w:cs="Arial"/>
        </w:rPr>
        <w:t>, mediante a denominação instituída pela futura norma legal.</w:t>
      </w:r>
    </w:p>
    <w:p w14:paraId="27ACC2EB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342613">
        <w:rPr>
          <w:rFonts w:ascii="Arial" w:hAnsi="Arial" w:cs="Arial"/>
        </w:rPr>
        <w:t>A denominação de próprios públicos constitui prática tradicional no âmbito da Administração Pública, sendo instrumento de reconhecimento público àqueles que contribuíram de forma relevante para o desenvolvimento da comunidade e para a construção da história do Município.</w:t>
      </w:r>
    </w:p>
    <w:p w14:paraId="29BE6E5D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342613">
        <w:rPr>
          <w:rFonts w:ascii="Arial" w:hAnsi="Arial" w:cs="Arial"/>
        </w:rPr>
        <w:lastRenderedPageBreak/>
        <w:t xml:space="preserve">Compete a esta Comissão proceder à análise da matéria sob os aspectos </w:t>
      </w:r>
      <w:r w:rsidRPr="00342613">
        <w:rPr>
          <w:rFonts w:ascii="Arial" w:hAnsi="Arial" w:cs="Arial"/>
          <w:b/>
          <w:bCs/>
        </w:rPr>
        <w:t>constitucional, legal, jurídico e de técnica legislativa</w:t>
      </w:r>
      <w:r w:rsidRPr="00342613">
        <w:rPr>
          <w:rFonts w:ascii="Arial" w:hAnsi="Arial" w:cs="Arial"/>
        </w:rPr>
        <w:t>, sem adentrar no mérito administrativo da homenagem proposta.</w:t>
      </w:r>
    </w:p>
    <w:p w14:paraId="099CBA15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</w:rPr>
      </w:pPr>
      <w:r w:rsidRPr="00342613">
        <w:rPr>
          <w:rFonts w:ascii="Arial" w:hAnsi="Arial" w:cs="Arial"/>
        </w:rPr>
        <w:t>É o relatório.</w:t>
      </w:r>
    </w:p>
    <w:p w14:paraId="0ACF9902" w14:textId="28A6AB8B" w:rsid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II – FUNDAMENTAÇÃO JURÍDICA </w:t>
      </w:r>
    </w:p>
    <w:p w14:paraId="34DDB6F4" w14:textId="77777777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>1. Da Competência Legislativa do Município</w:t>
      </w:r>
    </w:p>
    <w:p w14:paraId="3433D60C" w14:textId="77777777" w:rsidR="00CC2936" w:rsidRPr="00CC2936" w:rsidRDefault="00CC2936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 xml:space="preserve">A Constituição da República estabelece, em seu </w:t>
      </w:r>
      <w:r w:rsidRPr="00CC2936">
        <w:rPr>
          <w:rFonts w:ascii="Arial" w:hAnsi="Arial" w:cs="Arial"/>
          <w:b/>
          <w:bCs/>
          <w:sz w:val="24"/>
          <w:szCs w:val="24"/>
        </w:rPr>
        <w:t>art. 30, inciso I</w:t>
      </w:r>
      <w:r w:rsidRPr="00CC2936">
        <w:rPr>
          <w:rFonts w:ascii="Arial" w:hAnsi="Arial" w:cs="Arial"/>
          <w:sz w:val="24"/>
          <w:szCs w:val="24"/>
        </w:rPr>
        <w:t>, que compete aos Municípios legislar sobre assuntos de interesse local.</w:t>
      </w:r>
    </w:p>
    <w:p w14:paraId="07D4316C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A denominação de </w:t>
      </w:r>
      <w:r w:rsidRPr="00342613">
        <w:rPr>
          <w:rFonts w:ascii="Arial" w:hAnsi="Arial" w:cs="Arial"/>
          <w:b/>
          <w:bCs/>
          <w:sz w:val="24"/>
          <w:szCs w:val="24"/>
        </w:rPr>
        <w:t>bens públicos municipais, logradouros, prédios e equipamentos públicos</w:t>
      </w:r>
      <w:r w:rsidRPr="00342613">
        <w:rPr>
          <w:rFonts w:ascii="Arial" w:hAnsi="Arial" w:cs="Arial"/>
          <w:sz w:val="24"/>
          <w:szCs w:val="24"/>
        </w:rPr>
        <w:t xml:space="preserve"> insere-se no âmbito do interesse local, sendo matéria de competência legislativa do Município.</w:t>
      </w:r>
    </w:p>
    <w:p w14:paraId="7278AE5C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>Nesse sentido, o Poder Legislativo Municipal possui competência para deliberar sobre a denominação de bens públicos pertencentes ao patrimônio municipal, desde que observados os princípios constitucionais e as normas da legislação local.</w:t>
      </w:r>
    </w:p>
    <w:p w14:paraId="1AC5ED1F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Dessa forma, verifica-se que o </w:t>
      </w:r>
      <w:r w:rsidRPr="00342613">
        <w:rPr>
          <w:rFonts w:ascii="Arial" w:hAnsi="Arial" w:cs="Arial"/>
          <w:b/>
          <w:bCs/>
          <w:sz w:val="24"/>
          <w:szCs w:val="24"/>
        </w:rPr>
        <w:t>Projeto de Lei nº 08/2026 encontra-se dentro da esfera de competência legislativa municipal</w:t>
      </w:r>
      <w:r w:rsidRPr="00342613">
        <w:rPr>
          <w:rFonts w:ascii="Arial" w:hAnsi="Arial" w:cs="Arial"/>
          <w:sz w:val="24"/>
          <w:szCs w:val="24"/>
        </w:rPr>
        <w:t>, não havendo afronta à Constituição Federal.</w:t>
      </w:r>
    </w:p>
    <w:p w14:paraId="61D805DD" w14:textId="558D9028" w:rsidR="000D671D" w:rsidRPr="000D671D" w:rsidRDefault="000D671D" w:rsidP="000D671D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0D671D">
        <w:rPr>
          <w:rFonts w:ascii="Arial" w:hAnsi="Arial" w:cs="Arial"/>
          <w:b/>
          <w:bCs/>
          <w:sz w:val="24"/>
          <w:szCs w:val="24"/>
        </w:rPr>
        <w:t xml:space="preserve">2. </w:t>
      </w:r>
      <w:r w:rsidR="00CC2936" w:rsidRPr="00CC2936">
        <w:rPr>
          <w:rFonts w:ascii="Arial" w:hAnsi="Arial" w:cs="Arial"/>
          <w:b/>
          <w:bCs/>
          <w:sz w:val="24"/>
          <w:szCs w:val="24"/>
        </w:rPr>
        <w:t>Da Compatibilidade com os Princípios da Administração Pública</w:t>
      </w:r>
    </w:p>
    <w:p w14:paraId="7E0717CF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A </w:t>
      </w:r>
      <w:r w:rsidRPr="00342613">
        <w:rPr>
          <w:rFonts w:ascii="Arial" w:hAnsi="Arial" w:cs="Arial"/>
          <w:b/>
          <w:bCs/>
          <w:sz w:val="24"/>
          <w:szCs w:val="24"/>
        </w:rPr>
        <w:t>Constituição Federal</w:t>
      </w:r>
      <w:r w:rsidRPr="00342613">
        <w:rPr>
          <w:rFonts w:ascii="Arial" w:hAnsi="Arial" w:cs="Arial"/>
          <w:sz w:val="24"/>
          <w:szCs w:val="24"/>
        </w:rPr>
        <w:t xml:space="preserve">, em seu </w:t>
      </w:r>
      <w:r w:rsidRPr="00342613">
        <w:rPr>
          <w:rFonts w:ascii="Arial" w:hAnsi="Arial" w:cs="Arial"/>
          <w:b/>
          <w:bCs/>
          <w:sz w:val="24"/>
          <w:szCs w:val="24"/>
        </w:rPr>
        <w:t>art. 37</w:t>
      </w:r>
      <w:r w:rsidRPr="00342613">
        <w:rPr>
          <w:rFonts w:ascii="Arial" w:hAnsi="Arial" w:cs="Arial"/>
          <w:sz w:val="24"/>
          <w:szCs w:val="24"/>
        </w:rPr>
        <w:t xml:space="preserve">, estabelece que a Administração Pública deve obedecer aos princípios da </w:t>
      </w:r>
      <w:r w:rsidRPr="00342613">
        <w:rPr>
          <w:rFonts w:ascii="Arial" w:hAnsi="Arial" w:cs="Arial"/>
          <w:b/>
          <w:bCs/>
          <w:sz w:val="24"/>
          <w:szCs w:val="24"/>
        </w:rPr>
        <w:t>legalidade, impessoalidade, moralidade, publicidade e eficiência</w:t>
      </w:r>
      <w:r w:rsidRPr="00342613">
        <w:rPr>
          <w:rFonts w:ascii="Arial" w:hAnsi="Arial" w:cs="Arial"/>
          <w:sz w:val="24"/>
          <w:szCs w:val="24"/>
        </w:rPr>
        <w:t>.</w:t>
      </w:r>
    </w:p>
    <w:p w14:paraId="71295B74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>A denominação de bens públicos por meio de lei municipal constitui ato administrativo e legislativo legítimo, desde que observados os princípios da impessoalidade e da moralidade administrativa.</w:t>
      </w:r>
    </w:p>
    <w:p w14:paraId="5AA669B3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No caso em análise, a homenagem proposta refere-se a pessoa que </w:t>
      </w:r>
      <w:r w:rsidRPr="00342613">
        <w:rPr>
          <w:rFonts w:ascii="Arial" w:hAnsi="Arial" w:cs="Arial"/>
          <w:b/>
          <w:bCs/>
          <w:sz w:val="24"/>
          <w:szCs w:val="24"/>
        </w:rPr>
        <w:t>prestou relevantes serviços ao Município</w:t>
      </w:r>
      <w:r w:rsidRPr="00342613">
        <w:rPr>
          <w:rFonts w:ascii="Arial" w:hAnsi="Arial" w:cs="Arial"/>
          <w:sz w:val="24"/>
          <w:szCs w:val="24"/>
        </w:rPr>
        <w:t>, tendo exercido mandato parlamentar e integrado o quadro de servidores públicos municipais, o que demonstra a pertinência e legitimidade da homenagem.</w:t>
      </w:r>
    </w:p>
    <w:p w14:paraId="3D31DBE8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>Não se verifica qualquer afronta aos princípios constitucionais que regem a Administração Pública.</w:t>
      </w:r>
    </w:p>
    <w:p w14:paraId="4C1AE9C6" w14:textId="63E00DF5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 xml:space="preserve">3. </w:t>
      </w:r>
      <w:r w:rsidR="00342613" w:rsidRPr="00342613">
        <w:rPr>
          <w:rFonts w:ascii="Arial" w:hAnsi="Arial" w:cs="Arial"/>
          <w:b/>
          <w:bCs/>
          <w:sz w:val="24"/>
          <w:szCs w:val="24"/>
        </w:rPr>
        <w:t>Da Conformidade com a Lei Orgânica do Município</w:t>
      </w:r>
    </w:p>
    <w:p w14:paraId="707A4DBF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lastRenderedPageBreak/>
        <w:t xml:space="preserve">A </w:t>
      </w:r>
      <w:r w:rsidRPr="00342613">
        <w:rPr>
          <w:rFonts w:ascii="Arial" w:hAnsi="Arial" w:cs="Arial"/>
          <w:b/>
          <w:bCs/>
          <w:sz w:val="24"/>
          <w:szCs w:val="24"/>
        </w:rPr>
        <w:t>Lei Orgânica do Município de Acrelândia</w:t>
      </w:r>
      <w:r w:rsidRPr="00342613">
        <w:rPr>
          <w:rFonts w:ascii="Arial" w:hAnsi="Arial" w:cs="Arial"/>
          <w:sz w:val="24"/>
          <w:szCs w:val="24"/>
        </w:rPr>
        <w:t xml:space="preserve"> assegura ao Poder Legislativo Municipal a competência para legislar sobre matérias de interesse local, bem como deliberar sobre a denominação de </w:t>
      </w:r>
      <w:r w:rsidRPr="00342613">
        <w:rPr>
          <w:rFonts w:ascii="Arial" w:hAnsi="Arial" w:cs="Arial"/>
          <w:b/>
          <w:bCs/>
          <w:sz w:val="24"/>
          <w:szCs w:val="24"/>
        </w:rPr>
        <w:t>próprios públicos municipais</w:t>
      </w:r>
      <w:r w:rsidRPr="00342613">
        <w:rPr>
          <w:rFonts w:ascii="Arial" w:hAnsi="Arial" w:cs="Arial"/>
          <w:sz w:val="24"/>
          <w:szCs w:val="24"/>
        </w:rPr>
        <w:t>.</w:t>
      </w:r>
    </w:p>
    <w:p w14:paraId="1F058350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Nesse sentido, a presente proposição encontra-se </w:t>
      </w:r>
      <w:r w:rsidRPr="00342613">
        <w:rPr>
          <w:rFonts w:ascii="Arial" w:hAnsi="Arial" w:cs="Arial"/>
          <w:b/>
          <w:bCs/>
          <w:sz w:val="24"/>
          <w:szCs w:val="24"/>
        </w:rPr>
        <w:t>em conformidade com as disposições da Lei Orgânica Municipal</w:t>
      </w:r>
      <w:r w:rsidRPr="00342613">
        <w:rPr>
          <w:rFonts w:ascii="Arial" w:hAnsi="Arial" w:cs="Arial"/>
          <w:sz w:val="24"/>
          <w:szCs w:val="24"/>
        </w:rPr>
        <w:t>, não sendo identificada qualquer incompatibilidade normativa.</w:t>
      </w:r>
    </w:p>
    <w:p w14:paraId="6AA04FAB" w14:textId="69693201" w:rsidR="006C09E3" w:rsidRPr="006C09E3" w:rsidRDefault="0034261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6C09E3" w:rsidRPr="006C09E3">
        <w:rPr>
          <w:rFonts w:ascii="Arial" w:hAnsi="Arial" w:cs="Arial"/>
          <w:b/>
          <w:bCs/>
          <w:sz w:val="24"/>
          <w:szCs w:val="24"/>
        </w:rPr>
        <w:t>. Da Técnica Legislativa</w:t>
      </w:r>
    </w:p>
    <w:p w14:paraId="231D41DE" w14:textId="326DE7EE" w:rsidR="006C09E3" w:rsidRPr="006C09E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Quanto à </w:t>
      </w:r>
      <w:r w:rsidRPr="00342613">
        <w:rPr>
          <w:rFonts w:ascii="Arial" w:hAnsi="Arial" w:cs="Arial"/>
          <w:b/>
          <w:bCs/>
          <w:sz w:val="24"/>
          <w:szCs w:val="24"/>
        </w:rPr>
        <w:t>técnica legislativa</w:t>
      </w:r>
      <w:r w:rsidRPr="00342613">
        <w:rPr>
          <w:rFonts w:ascii="Arial" w:hAnsi="Arial" w:cs="Arial"/>
          <w:sz w:val="24"/>
          <w:szCs w:val="24"/>
        </w:rPr>
        <w:t xml:space="preserve">, observa-se que o </w:t>
      </w:r>
      <w:r w:rsidRPr="00342613">
        <w:rPr>
          <w:rFonts w:ascii="Arial" w:hAnsi="Arial" w:cs="Arial"/>
          <w:b/>
          <w:bCs/>
          <w:sz w:val="24"/>
          <w:szCs w:val="24"/>
        </w:rPr>
        <w:t>Projeto de Lei nº 08/2026</w:t>
      </w:r>
      <w:r w:rsidRPr="00342613">
        <w:rPr>
          <w:rFonts w:ascii="Arial" w:hAnsi="Arial" w:cs="Arial"/>
          <w:sz w:val="24"/>
          <w:szCs w:val="24"/>
        </w:rPr>
        <w:t xml:space="preserve"> encontra-se estruturado de forma adequada, atendendo aos parâmetros estabelecidos pela </w:t>
      </w:r>
      <w:r w:rsidRPr="00342613">
        <w:rPr>
          <w:rFonts w:ascii="Arial" w:hAnsi="Arial" w:cs="Arial"/>
          <w:b/>
          <w:bCs/>
          <w:sz w:val="24"/>
          <w:szCs w:val="24"/>
        </w:rPr>
        <w:t>Lei Complementar nº 95, de 26 de fevereiro de 1998</w:t>
      </w:r>
      <w:r w:rsidRPr="00342613">
        <w:rPr>
          <w:rFonts w:ascii="Arial" w:hAnsi="Arial" w:cs="Arial"/>
          <w:sz w:val="24"/>
          <w:szCs w:val="24"/>
        </w:rPr>
        <w:t>, que dispõe sobre a elaboração, redação e consolidação das leis.</w:t>
      </w:r>
    </w:p>
    <w:p w14:paraId="3474A6F5" w14:textId="77777777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A proposição apresenta:</w:t>
      </w:r>
    </w:p>
    <w:p w14:paraId="7A35DF84" w14:textId="77777777" w:rsidR="006C09E3" w:rsidRPr="006C09E3" w:rsidRDefault="006C09E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redação clara e objetiva;</w:t>
      </w:r>
    </w:p>
    <w:p w14:paraId="7FCCB4F9" w14:textId="019CEB60" w:rsidR="006C09E3" w:rsidRPr="006C09E3" w:rsidRDefault="00CC2936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CC2936">
        <w:rPr>
          <w:rFonts w:ascii="Arial" w:hAnsi="Arial" w:cs="Arial"/>
          <w:sz w:val="24"/>
          <w:szCs w:val="24"/>
        </w:rPr>
        <w:t>organização lógica dos dispositivos legais</w:t>
      </w:r>
      <w:r w:rsidR="006C09E3" w:rsidRPr="006C09E3">
        <w:rPr>
          <w:rFonts w:ascii="Arial" w:hAnsi="Arial" w:cs="Arial"/>
          <w:sz w:val="24"/>
          <w:szCs w:val="24"/>
        </w:rPr>
        <w:t>;</w:t>
      </w:r>
    </w:p>
    <w:p w14:paraId="6B47B58E" w14:textId="2DE869C4" w:rsidR="006C09E3" w:rsidRPr="006C09E3" w:rsidRDefault="0034261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>definição precisa do objeto da norma</w:t>
      </w:r>
      <w:r w:rsidR="006C09E3" w:rsidRPr="006C09E3">
        <w:rPr>
          <w:rFonts w:ascii="Arial" w:hAnsi="Arial" w:cs="Arial"/>
          <w:sz w:val="24"/>
          <w:szCs w:val="24"/>
        </w:rPr>
        <w:t>;</w:t>
      </w:r>
    </w:p>
    <w:p w14:paraId="390D0797" w14:textId="7248A4A9" w:rsidR="006C09E3" w:rsidRPr="006C09E3" w:rsidRDefault="00342613" w:rsidP="006C09E3">
      <w:pPr>
        <w:numPr>
          <w:ilvl w:val="0"/>
          <w:numId w:val="2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>compatibilidade com o ordenamento jurídico vigente</w:t>
      </w:r>
      <w:r w:rsidR="006C09E3" w:rsidRPr="006C09E3">
        <w:rPr>
          <w:rFonts w:ascii="Arial" w:hAnsi="Arial" w:cs="Arial"/>
          <w:sz w:val="24"/>
          <w:szCs w:val="24"/>
        </w:rPr>
        <w:t>.</w:t>
      </w:r>
    </w:p>
    <w:p w14:paraId="43E90133" w14:textId="11F8BD73" w:rsidR="006C09E3" w:rsidRPr="006C09E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Não foram identificados </w:t>
      </w:r>
      <w:r w:rsidRPr="00342613">
        <w:rPr>
          <w:rFonts w:ascii="Arial" w:hAnsi="Arial" w:cs="Arial"/>
          <w:b/>
          <w:bCs/>
          <w:sz w:val="24"/>
          <w:szCs w:val="24"/>
        </w:rPr>
        <w:t>vícios formais, jurídicos ou de redação</w:t>
      </w:r>
      <w:r w:rsidRPr="00342613">
        <w:rPr>
          <w:rFonts w:ascii="Arial" w:hAnsi="Arial" w:cs="Arial"/>
          <w:sz w:val="24"/>
          <w:szCs w:val="24"/>
        </w:rPr>
        <w:t xml:space="preserve"> que impeçam sua regular tramitação no processo legislativo.</w:t>
      </w:r>
    </w:p>
    <w:p w14:paraId="63204873" w14:textId="77777777" w:rsidR="006C09E3" w:rsidRPr="006C09E3" w:rsidRDefault="006C09E3" w:rsidP="006C09E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t>III – VOTO DO RELATOR</w:t>
      </w:r>
    </w:p>
    <w:p w14:paraId="688849C1" w14:textId="4E42FADB" w:rsidR="006C09E3" w:rsidRPr="006C09E3" w:rsidRDefault="006C09E3" w:rsidP="006C09E3">
      <w:pPr>
        <w:spacing w:before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6C09E3">
        <w:rPr>
          <w:rFonts w:ascii="Arial" w:hAnsi="Arial" w:cs="Arial"/>
          <w:sz w:val="24"/>
          <w:szCs w:val="24"/>
        </w:rPr>
        <w:t>Diante da análise realizada, constata-se que o Projeto de Lei nº 0</w:t>
      </w:r>
      <w:r w:rsidR="00342613">
        <w:rPr>
          <w:rFonts w:ascii="Arial" w:hAnsi="Arial" w:cs="Arial"/>
          <w:sz w:val="24"/>
          <w:szCs w:val="24"/>
        </w:rPr>
        <w:t>8</w:t>
      </w:r>
      <w:r w:rsidRPr="006C09E3">
        <w:rPr>
          <w:rFonts w:ascii="Arial" w:hAnsi="Arial" w:cs="Arial"/>
          <w:sz w:val="24"/>
          <w:szCs w:val="24"/>
        </w:rPr>
        <w:t>/2026:</w:t>
      </w:r>
    </w:p>
    <w:p w14:paraId="1A6555A9" w14:textId="4D5319C7" w:rsidR="00EE334D" w:rsidRDefault="0034261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encontra-se em conformidade com a </w:t>
      </w:r>
      <w:r w:rsidRPr="00342613">
        <w:rPr>
          <w:rFonts w:ascii="Arial" w:hAnsi="Arial" w:cs="Arial"/>
          <w:b/>
          <w:bCs/>
          <w:sz w:val="24"/>
          <w:szCs w:val="24"/>
        </w:rPr>
        <w:t>Constituição Federal</w:t>
      </w:r>
      <w:r w:rsidRPr="00342613">
        <w:rPr>
          <w:rFonts w:ascii="Arial" w:hAnsi="Arial" w:cs="Arial"/>
          <w:sz w:val="24"/>
          <w:szCs w:val="24"/>
        </w:rPr>
        <w:t xml:space="preserve">, especialmente com o </w:t>
      </w:r>
      <w:r w:rsidRPr="00342613">
        <w:rPr>
          <w:rFonts w:ascii="Arial" w:hAnsi="Arial" w:cs="Arial"/>
          <w:b/>
          <w:bCs/>
          <w:sz w:val="24"/>
          <w:szCs w:val="24"/>
        </w:rPr>
        <w:t>art. 30</w:t>
      </w:r>
      <w:r w:rsidRPr="00342613">
        <w:rPr>
          <w:rFonts w:ascii="Arial" w:hAnsi="Arial" w:cs="Arial"/>
          <w:sz w:val="24"/>
          <w:szCs w:val="24"/>
        </w:rPr>
        <w:t>, que trata da competência legislativa municipal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64B33DCF" w14:textId="322AC9EC" w:rsidR="00EE334D" w:rsidRDefault="0034261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respeita os </w:t>
      </w:r>
      <w:r w:rsidRPr="00342613">
        <w:rPr>
          <w:rFonts w:ascii="Arial" w:hAnsi="Arial" w:cs="Arial"/>
          <w:b/>
          <w:bCs/>
          <w:sz w:val="24"/>
          <w:szCs w:val="24"/>
        </w:rPr>
        <w:t>princípios da Administração Pública</w:t>
      </w:r>
      <w:r w:rsidRPr="00342613">
        <w:rPr>
          <w:rFonts w:ascii="Arial" w:hAnsi="Arial" w:cs="Arial"/>
          <w:sz w:val="24"/>
          <w:szCs w:val="24"/>
        </w:rPr>
        <w:t xml:space="preserve"> previstos no </w:t>
      </w:r>
      <w:r w:rsidRPr="00342613">
        <w:rPr>
          <w:rFonts w:ascii="Arial" w:hAnsi="Arial" w:cs="Arial"/>
          <w:b/>
          <w:bCs/>
          <w:sz w:val="24"/>
          <w:szCs w:val="24"/>
        </w:rPr>
        <w:t>art. 37 da Constituição Federal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42AD1F98" w14:textId="33A6DCC4" w:rsidR="00EE334D" w:rsidRDefault="0034261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está em consonância com a </w:t>
      </w:r>
      <w:r w:rsidRPr="00342613">
        <w:rPr>
          <w:rFonts w:ascii="Arial" w:hAnsi="Arial" w:cs="Arial"/>
          <w:b/>
          <w:bCs/>
          <w:sz w:val="24"/>
          <w:szCs w:val="24"/>
        </w:rPr>
        <w:t>Lei Orgânica do Município de Acrelândia</w:t>
      </w:r>
      <w:r w:rsidR="00EE334D" w:rsidRPr="00EE334D">
        <w:rPr>
          <w:rFonts w:ascii="Arial" w:hAnsi="Arial" w:cs="Arial"/>
          <w:sz w:val="24"/>
          <w:szCs w:val="24"/>
        </w:rPr>
        <w:t>;</w:t>
      </w:r>
    </w:p>
    <w:p w14:paraId="00D75F20" w14:textId="2384E8F5" w:rsidR="006C09E3" w:rsidRPr="006C09E3" w:rsidRDefault="00342613" w:rsidP="006C09E3">
      <w:pPr>
        <w:numPr>
          <w:ilvl w:val="0"/>
          <w:numId w:val="3"/>
        </w:numPr>
        <w:spacing w:before="240" w:line="360" w:lineRule="auto"/>
        <w:ind w:left="714" w:right="-425" w:hanging="357"/>
        <w:contextualSpacing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atende aos critérios de </w:t>
      </w:r>
      <w:r w:rsidRPr="00342613">
        <w:rPr>
          <w:rFonts w:ascii="Arial" w:hAnsi="Arial" w:cs="Arial"/>
          <w:b/>
          <w:bCs/>
          <w:sz w:val="24"/>
          <w:szCs w:val="24"/>
        </w:rPr>
        <w:t>legalidade, juridicidade e técnica legislativa</w:t>
      </w:r>
      <w:r w:rsidR="00EE334D" w:rsidRPr="00EE334D">
        <w:rPr>
          <w:rFonts w:ascii="Arial" w:hAnsi="Arial" w:cs="Arial"/>
          <w:sz w:val="24"/>
          <w:szCs w:val="24"/>
        </w:rPr>
        <w:t>.</w:t>
      </w:r>
    </w:p>
    <w:p w14:paraId="616905B2" w14:textId="2CFC894B" w:rsidR="006C09E3" w:rsidRDefault="00EE334D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EE334D">
        <w:rPr>
          <w:rFonts w:ascii="Arial" w:hAnsi="Arial" w:cs="Arial"/>
          <w:sz w:val="24"/>
          <w:szCs w:val="24"/>
        </w:rPr>
        <w:t xml:space="preserve">Assim, </w:t>
      </w:r>
      <w:r w:rsidRPr="00EE334D">
        <w:rPr>
          <w:rFonts w:ascii="Arial" w:hAnsi="Arial" w:cs="Arial"/>
          <w:b/>
          <w:bCs/>
          <w:sz w:val="24"/>
          <w:szCs w:val="24"/>
        </w:rPr>
        <w:t>não se verificam óbices constitucionais, legais ou regimentais à sua tramitação.</w:t>
      </w:r>
    </w:p>
    <w:p w14:paraId="32AA4CBB" w14:textId="77777777" w:rsidR="00342613" w:rsidRDefault="00342613" w:rsidP="0034261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</w:p>
    <w:p w14:paraId="447020FB" w14:textId="78E98BEF" w:rsidR="006C09E3" w:rsidRPr="006C09E3" w:rsidRDefault="006C09E3" w:rsidP="00342613">
      <w:pPr>
        <w:spacing w:before="240"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6C09E3">
        <w:rPr>
          <w:rFonts w:ascii="Arial" w:hAnsi="Arial" w:cs="Arial"/>
          <w:b/>
          <w:bCs/>
          <w:sz w:val="24"/>
          <w:szCs w:val="24"/>
        </w:rPr>
        <w:lastRenderedPageBreak/>
        <w:t>IV – CONCLUSÃO</w:t>
      </w:r>
    </w:p>
    <w:p w14:paraId="1425D7DA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Ante o exposto, esta </w:t>
      </w:r>
      <w:r w:rsidRPr="00342613">
        <w:rPr>
          <w:rFonts w:ascii="Arial" w:hAnsi="Arial" w:cs="Arial"/>
          <w:b/>
          <w:bCs/>
          <w:sz w:val="24"/>
          <w:szCs w:val="24"/>
        </w:rPr>
        <w:t>Comissão de Legislação, Justiça e Redação Final</w:t>
      </w:r>
      <w:r w:rsidRPr="00342613">
        <w:rPr>
          <w:rFonts w:ascii="Arial" w:hAnsi="Arial" w:cs="Arial"/>
          <w:sz w:val="24"/>
          <w:szCs w:val="24"/>
        </w:rPr>
        <w:t xml:space="preserve"> manifesta-se pela </w:t>
      </w:r>
      <w:r w:rsidRPr="00342613">
        <w:rPr>
          <w:rFonts w:ascii="Arial" w:hAnsi="Arial" w:cs="Arial"/>
          <w:b/>
          <w:bCs/>
          <w:sz w:val="24"/>
          <w:szCs w:val="24"/>
        </w:rPr>
        <w:t>constitucionalidade, legalidade, juridicidade e adequada técnica legislativa do Projeto de Lei nº 08/2026</w:t>
      </w:r>
      <w:r w:rsidRPr="00342613">
        <w:rPr>
          <w:rFonts w:ascii="Arial" w:hAnsi="Arial" w:cs="Arial"/>
          <w:sz w:val="24"/>
          <w:szCs w:val="24"/>
        </w:rPr>
        <w:t>.</w:t>
      </w:r>
    </w:p>
    <w:p w14:paraId="0AD68CEE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No mérito, entende-se que a iniciativa representa </w:t>
      </w:r>
      <w:r w:rsidRPr="00342613">
        <w:rPr>
          <w:rFonts w:ascii="Arial" w:hAnsi="Arial" w:cs="Arial"/>
          <w:b/>
          <w:bCs/>
          <w:sz w:val="24"/>
          <w:szCs w:val="24"/>
        </w:rPr>
        <w:t>justa homenagem a cidadão que contribuiu significativamente para o desenvolvimento do Município de Acrelândia</w:t>
      </w:r>
      <w:r w:rsidRPr="00342613">
        <w:rPr>
          <w:rFonts w:ascii="Arial" w:hAnsi="Arial" w:cs="Arial"/>
          <w:sz w:val="24"/>
          <w:szCs w:val="24"/>
        </w:rPr>
        <w:t>, preservando a memória daqueles que dedicaram parte de sua vida ao serviço público e à comunidade.</w:t>
      </w:r>
    </w:p>
    <w:p w14:paraId="63E94BEB" w14:textId="77777777" w:rsidR="00342613" w:rsidRPr="00342613" w:rsidRDefault="00342613" w:rsidP="00342613">
      <w:pPr>
        <w:spacing w:before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342613">
        <w:rPr>
          <w:rFonts w:ascii="Arial" w:hAnsi="Arial" w:cs="Arial"/>
          <w:sz w:val="24"/>
          <w:szCs w:val="24"/>
        </w:rPr>
        <w:t xml:space="preserve">Dessa forma, esta Comissão </w:t>
      </w:r>
      <w:r w:rsidRPr="00342613">
        <w:rPr>
          <w:rFonts w:ascii="Arial" w:hAnsi="Arial" w:cs="Arial"/>
          <w:b/>
          <w:bCs/>
          <w:sz w:val="24"/>
          <w:szCs w:val="24"/>
        </w:rPr>
        <w:t>vota pela APROVAÇÃO do Projeto de Lei nº 08/2026</w:t>
      </w:r>
      <w:r w:rsidRPr="00342613">
        <w:rPr>
          <w:rFonts w:ascii="Arial" w:hAnsi="Arial" w:cs="Arial"/>
          <w:sz w:val="24"/>
          <w:szCs w:val="24"/>
        </w:rPr>
        <w:t>.</w:t>
      </w:r>
    </w:p>
    <w:p w14:paraId="12F43EA3" w14:textId="77777777" w:rsidR="006F3680" w:rsidRDefault="006F3680" w:rsidP="00342613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55195E66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6C09E3">
        <w:rPr>
          <w:rFonts w:ascii="Arial" w:hAnsi="Arial" w:cs="Arial"/>
          <w:sz w:val="24"/>
          <w:szCs w:val="24"/>
        </w:rPr>
        <w:t>2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6C09E3">
        <w:rPr>
          <w:rFonts w:ascii="Arial" w:hAnsi="Arial" w:cs="Arial"/>
          <w:sz w:val="24"/>
          <w:szCs w:val="24"/>
        </w:rPr>
        <w:t>março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6C09E3">
        <w:rPr>
          <w:rFonts w:ascii="Arial" w:hAnsi="Arial" w:cs="Arial"/>
          <w:sz w:val="24"/>
          <w:szCs w:val="24"/>
        </w:rPr>
        <w:t>6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CF853" w14:textId="77777777" w:rsidR="006751A7" w:rsidRDefault="006751A7" w:rsidP="008B1D5A">
      <w:r>
        <w:separator/>
      </w:r>
    </w:p>
  </w:endnote>
  <w:endnote w:type="continuationSeparator" w:id="0">
    <w:p w14:paraId="1F57A39A" w14:textId="77777777" w:rsidR="006751A7" w:rsidRDefault="006751A7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F8EC1" w14:textId="77777777" w:rsidR="006751A7" w:rsidRDefault="006751A7" w:rsidP="008B1D5A">
      <w:r>
        <w:separator/>
      </w:r>
    </w:p>
  </w:footnote>
  <w:footnote w:type="continuationSeparator" w:id="0">
    <w:p w14:paraId="4EED8F51" w14:textId="77777777" w:rsidR="006751A7" w:rsidRDefault="006751A7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Pr="00342613" w:rsidRDefault="008B1D5A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B7E48"/>
    <w:multiLevelType w:val="multilevel"/>
    <w:tmpl w:val="A5E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B76B1"/>
    <w:multiLevelType w:val="multilevel"/>
    <w:tmpl w:val="832C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545402"/>
    <w:multiLevelType w:val="multilevel"/>
    <w:tmpl w:val="1082B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722A48"/>
    <w:multiLevelType w:val="multilevel"/>
    <w:tmpl w:val="9DF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8307778">
    <w:abstractNumId w:val="0"/>
  </w:num>
  <w:num w:numId="2" w16cid:durableId="2082214656">
    <w:abstractNumId w:val="2"/>
  </w:num>
  <w:num w:numId="3" w16cid:durableId="478688941">
    <w:abstractNumId w:val="1"/>
  </w:num>
  <w:num w:numId="4" w16cid:durableId="4771163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D671D"/>
    <w:rsid w:val="000E530E"/>
    <w:rsid w:val="001172F1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41F05"/>
    <w:rsid w:val="00342613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D48AB"/>
    <w:rsid w:val="005F42CA"/>
    <w:rsid w:val="005F7FBE"/>
    <w:rsid w:val="0060649F"/>
    <w:rsid w:val="00607825"/>
    <w:rsid w:val="00620C24"/>
    <w:rsid w:val="00631604"/>
    <w:rsid w:val="00637067"/>
    <w:rsid w:val="006751A7"/>
    <w:rsid w:val="00683BB2"/>
    <w:rsid w:val="006C09E3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42B31"/>
    <w:rsid w:val="00C93066"/>
    <w:rsid w:val="00CB5840"/>
    <w:rsid w:val="00CC02F9"/>
    <w:rsid w:val="00CC2936"/>
    <w:rsid w:val="00CE3F81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EE334D"/>
    <w:rsid w:val="00F3730E"/>
    <w:rsid w:val="00F37D2C"/>
    <w:rsid w:val="00F41C97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978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2026-03-13T17:56:00Z</cp:lastPrinted>
  <dcterms:created xsi:type="dcterms:W3CDTF">2026-03-13T17:57:00Z</dcterms:created>
  <dcterms:modified xsi:type="dcterms:W3CDTF">2026-03-13T17:57:00Z</dcterms:modified>
</cp:coreProperties>
</file>