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/>
      <w:r>
        <w:rPr>
          <w:rFonts w:ascii="Verdana" w:hAnsi="Verdana" w:cs="Arial"/>
          <w:sz w:val="20"/>
          <w:szCs w:val="20"/>
        </w:rPr>
      </w:r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114/2022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Câmara Municipal de Vereadores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Ação Legislativa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- 2001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Manutenção das Atividades Legislativas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200.000,00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Assistência Social e Direitos Humanos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0139</w:t>
      </w:r>
      <w:r>
        <w:rPr>
          <w:rFonts w:ascii="Arial" w:hAnsi="Arial" w:cs="Arial"/>
          <w:sz w:val="22"/>
          <w:szCs w:val="22"/>
        </w:rPr>
        <w:t xml:space="preserve"> – Benefícios Eventuais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2088 – </w:t>
      </w:r>
      <w:r>
        <w:rPr>
          <w:rFonts w:ascii="Arial" w:hAnsi="Arial" w:cs="Arial"/>
          <w:sz w:val="22"/>
          <w:szCs w:val="22"/>
        </w:rPr>
        <w:t xml:space="preserve">Benefícios Eventuais</w:t>
      </w:r>
      <w:r>
        <w:rPr>
          <w:rFonts w:ascii="Arial" w:hAnsi="Arial" w:cs="Arial"/>
          <w:sz w:val="22"/>
          <w:szCs w:val="22"/>
        </w:rPr>
        <w:t xml:space="preserve"> – Apoio a situações de vulnerabilidade temporária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548.819,73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2088 –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Benefícios Eventuais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Apoio a situações de vulnerabilidade temporária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Material, Bem ou Serviço de distribuição gratuita – Aquisição de material Hospitalar de mobilidade (Cadeiras de roda / banho, andadores, muletas, camas hospitalares), para empréstimo para pessoas carentes que necessitam destes equipamentos.</w:t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548.819,73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b/>
                <w:bCs/>
              </w:rPr>
            </w:r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11 de novembro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2022-11-12T23:07:28Z</dcterms:modified>
</cp:coreProperties>
</file>