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A5082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DC0C3D">
        <w:rPr>
          <w:rFonts w:ascii="Times New Roman" w:hAnsi="Times New Roman" w:cs="Times New Roman"/>
          <w:b/>
          <w:bCs/>
          <w:sz w:val="24"/>
          <w:szCs w:val="24"/>
        </w:rPr>
        <w:t>1.656, DE 07 DE JUNHO DE 2021.</w:t>
      </w:r>
    </w:p>
    <w:p w:rsidR="00E74A0C" w:rsidRPr="00740D5D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0826" w:rsidRPr="00851830" w:rsidRDefault="00A50826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“Dispõe sobre a obrigatoriedade da prévia inspeção e fiscalização dos produtos de origem animal no âmbito do Município de Lajinha/MG e dá outras providências.”</w:t>
      </w:r>
    </w:p>
    <w:p w:rsidR="00E74A0C" w:rsidRPr="00740D5D" w:rsidRDefault="00E74A0C" w:rsidP="00CD7E0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3A2EA1">
        <w:rPr>
          <w:rFonts w:cs="Times New Roman"/>
          <w:b/>
        </w:rPr>
        <w:t>Art. 1º</w:t>
      </w:r>
      <w:r>
        <w:rPr>
          <w:rFonts w:cs="Times New Roman"/>
          <w:b/>
        </w:rPr>
        <w:t xml:space="preserve"> - </w:t>
      </w:r>
      <w:r>
        <w:rPr>
          <w:rFonts w:cs="Times New Roman"/>
        </w:rPr>
        <w:t>Esta Lei regula a obrigatoriedade da prévia inspeção e fiscalização dos produtos de origem animal, produzidos no Município de Lajinha e destinados ao consumo, nos limites de sua área geográfica, nos termos do artigo 23, inciso II, da Constituição da República Federativa do Brasil de 1988 e em consonância com o disposto nas Leis Federais nº 1.283, de 18 de dezembro de 1950, e 7.889, de 23 de novembro de 1989.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2º -</w:t>
      </w:r>
      <w:r>
        <w:rPr>
          <w:rFonts w:cs="Times New Roman"/>
        </w:rPr>
        <w:t xml:space="preserve"> Cabe à Secretaria Municipal de Agricultura e Abastecimento dar cumprimento às normas estabelecidas na presente Lei e impor as penalidades nela previstas.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3º -</w:t>
      </w:r>
      <w:r>
        <w:rPr>
          <w:rFonts w:cs="Times New Roman"/>
        </w:rPr>
        <w:t xml:space="preserve"> Fica instituído o Serviço de Inspeção Municipal de Lajinha (SIMLAJ), vinculado à Secretaria Municipal de Agricultura e Abastecimento, que tem por finalidade a inspeção e fiscalização da produção industrial e sanitária dos produtos de origem animal, comestíveis e não comestíveis, adicionados ou não de produtos vegetais, preparados, transformados, manipulados, recebidos, acondicionados, depositados e em trânsito no Município de Lajinha.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4º -</w:t>
      </w:r>
      <w:r>
        <w:rPr>
          <w:rFonts w:cs="Times New Roman"/>
        </w:rPr>
        <w:t xml:space="preserve"> São atribuições do Serviço de Inspeção Municipal de Lajinha (SIMLAJ):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 –</w:t>
      </w:r>
      <w:r>
        <w:rPr>
          <w:rFonts w:cs="Times New Roman"/>
        </w:rPr>
        <w:t xml:space="preserve"> Inspecionar e fiscalizar os estabelecimentos de produtos de origem animal e seus produtos;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 –</w:t>
      </w:r>
      <w:r>
        <w:rPr>
          <w:rFonts w:cs="Times New Roman"/>
        </w:rPr>
        <w:t xml:space="preserve"> Realizar o registro sanitário dos estabelecimentos de produtos de origem animal e seus produtos;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III –</w:t>
      </w:r>
      <w:r>
        <w:rPr>
          <w:rFonts w:cs="Times New Roman"/>
        </w:rPr>
        <w:t xml:space="preserve"> Proceder </w:t>
      </w:r>
      <w:proofErr w:type="gramStart"/>
      <w:r>
        <w:rPr>
          <w:rFonts w:cs="Times New Roman"/>
        </w:rPr>
        <w:t>a</w:t>
      </w:r>
      <w:proofErr w:type="gramEnd"/>
      <w:r>
        <w:rPr>
          <w:rFonts w:cs="Times New Roman"/>
        </w:rPr>
        <w:t xml:space="preserve"> coleta de amostras de água de abastecimento, matérias primas, ingredientes e produtos para análises fiscais;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lastRenderedPageBreak/>
        <w:t>IV –</w:t>
      </w:r>
      <w:r>
        <w:rPr>
          <w:rFonts w:cs="Times New Roman"/>
        </w:rPr>
        <w:t xml:space="preserve"> Notificar, emitir auto de infração, apreender produtos, suspender, interditar ou embargar estabelecimentos, cassar registro de estabelecimentos e produtos e levantar suspensão ou interdição de estabelecimentos;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 –</w:t>
      </w:r>
      <w:r>
        <w:rPr>
          <w:rFonts w:cs="Times New Roman"/>
        </w:rPr>
        <w:t xml:space="preserve"> Realizar ações de combate à clandestinidade;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VI –</w:t>
      </w:r>
      <w:r>
        <w:rPr>
          <w:rFonts w:cs="Times New Roman"/>
        </w:rPr>
        <w:t xml:space="preserve"> Realizar outras atividades relacionadas à inspeção e fiscalização sanitária de produtos de origem animal que, por ventura, forem delegadas ao SIMLAJ.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5º -</w:t>
      </w:r>
      <w:r>
        <w:rPr>
          <w:rFonts w:cs="Times New Roman"/>
        </w:rPr>
        <w:t xml:space="preserve"> Fica ressalvada a competência da União, por meio do Ministério da Agricultura, Pecuária e Abastecimento, e do Estado, através da Secretaria de Estado de Agricultura, Pecuária e Abastecimento, a inspeção e fiscalização de que trata esta Lei, quando a produção for destinada ao comércio intermunicipal, interestadual ou internacional, sem prejuízo da colaboração da Secretaria Municipal de Agricultura e Abastecimento de Lajinha.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6º -</w:t>
      </w:r>
      <w:r>
        <w:rPr>
          <w:rFonts w:cs="Times New Roman"/>
        </w:rPr>
        <w:t xml:space="preserve"> A inspeção e fiscalização de que trata esta Lei serão procedidas, entre outros: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 –</w:t>
      </w:r>
      <w:r>
        <w:rPr>
          <w:rFonts w:cs="Times New Roman"/>
        </w:rPr>
        <w:t xml:space="preserve"> nos estabelecimentos industriais especializados situados em áreas urbanas ou rurais e nas propriedades rurais com instalações para o abate de animais e seu preparo ou industrialização, sob qualquer forma, para o consumo;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 –</w:t>
      </w:r>
      <w:r>
        <w:rPr>
          <w:rFonts w:cs="Times New Roman"/>
        </w:rPr>
        <w:t xml:space="preserve"> nos entrepostos de recebimento e distribuição de pescado e nas fábricas que o industrializar;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III –</w:t>
      </w:r>
      <w:r>
        <w:rPr>
          <w:rFonts w:cs="Times New Roman"/>
        </w:rPr>
        <w:t xml:space="preserve"> nas usinas de beneficiamento de leite, nas fábricas de laticínios, nos postos de recebimento, refrigeração e manipulação dos seus derivados e nas propriedades rurais com instalações para a manipulação, a industrialização ou o preparo do leite e seus derivados, sob qualquer forma, para o consumo;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IV –</w:t>
      </w:r>
      <w:r>
        <w:rPr>
          <w:rFonts w:cs="Times New Roman"/>
        </w:rPr>
        <w:t xml:space="preserve"> nos entrepostos de ovos e nas fábricas de produtos derivados;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 –</w:t>
      </w:r>
      <w:r>
        <w:rPr>
          <w:rFonts w:cs="Times New Roman"/>
        </w:rPr>
        <w:t xml:space="preserve"> nos estabelecimentos destinados à recepção, extração, manipulação do mel e elaboração de produtos apícolas;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VI –</w:t>
      </w:r>
      <w:r>
        <w:rPr>
          <w:rFonts w:cs="Times New Roman"/>
        </w:rPr>
        <w:t xml:space="preserve"> nos entrepostos que, de modo geral, recebam, manipulem, armazenem, conservem ou acondicionem produtos de origem animal.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7º -</w:t>
      </w:r>
      <w:r>
        <w:rPr>
          <w:rFonts w:cs="Times New Roman"/>
        </w:rPr>
        <w:t xml:space="preserve"> Serão objetos de inspeção e fiscalização previstos nesta Lei, entre outros: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 –</w:t>
      </w:r>
      <w:r>
        <w:rPr>
          <w:rFonts w:cs="Times New Roman"/>
        </w:rPr>
        <w:t xml:space="preserve"> os animais destinados ao abate, seus produtos, subprodutos e matérias primas;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 –</w:t>
      </w:r>
      <w:r>
        <w:rPr>
          <w:rFonts w:cs="Times New Roman"/>
        </w:rPr>
        <w:t xml:space="preserve"> o pescado e seus derivados;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lastRenderedPageBreak/>
        <w:t>III –</w:t>
      </w:r>
      <w:r>
        <w:rPr>
          <w:rFonts w:cs="Times New Roman"/>
        </w:rPr>
        <w:t xml:space="preserve"> o leite e seus derivados;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IV –</w:t>
      </w:r>
      <w:r>
        <w:rPr>
          <w:rFonts w:cs="Times New Roman"/>
        </w:rPr>
        <w:t xml:space="preserve"> os ovos e seus derivados;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 –</w:t>
      </w:r>
      <w:r>
        <w:rPr>
          <w:rFonts w:cs="Times New Roman"/>
        </w:rPr>
        <w:t xml:space="preserve"> o mel de abelha, a cera e seus derivados.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8º -</w:t>
      </w:r>
      <w:r>
        <w:rPr>
          <w:rFonts w:cs="Times New Roman"/>
        </w:rPr>
        <w:t xml:space="preserve"> O Serviço de Inspeção Municipal de Lajinha respeitará as especificidades dos diferentes tipos de produtos e das diferentes escalas de produção, incluindo a agroindústria familiar de pequeno porte, desde que atendidos os princípios das boas práticas de fabricação e segurança de alimentos e não resultem em fraude ou engano ao consumidor.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9º -</w:t>
      </w:r>
      <w:r>
        <w:rPr>
          <w:rFonts w:cs="Times New Roman"/>
        </w:rPr>
        <w:t xml:space="preserve"> A fiscalização e a inspeção de que trata a presente Lei serão exercidas em caráter periódico ou permanente, segundo as necessidades do serviço.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  <w:i/>
        </w:rPr>
        <w:t>Parágrafo único –</w:t>
      </w:r>
      <w:r>
        <w:rPr>
          <w:rFonts w:cs="Times New Roman"/>
        </w:rPr>
        <w:t xml:space="preserve"> Os estabelecimentos que realizam operações de abate de animais deverão possuir inspeção permanente para seu funcionamento.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10 –</w:t>
      </w:r>
      <w:r>
        <w:rPr>
          <w:rFonts w:cs="Times New Roman"/>
        </w:rPr>
        <w:t xml:space="preserve"> Para obter o registro no serviço de inspeção o estabelecimento deverá apresentar o pedido instruído pelos seguintes documentos: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 –</w:t>
      </w:r>
      <w:r>
        <w:rPr>
          <w:rFonts w:cs="Times New Roman"/>
        </w:rPr>
        <w:t xml:space="preserve"> requerimento, dirigido ao Coordenador do SIMLAJ, solicitando o registro;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 –</w:t>
      </w:r>
      <w:r>
        <w:rPr>
          <w:rFonts w:cs="Times New Roman"/>
        </w:rPr>
        <w:t xml:space="preserve"> planta baixa ou croqui das construções, acompanhadas do memorial descritivo;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III –</w:t>
      </w:r>
      <w:r>
        <w:rPr>
          <w:rFonts w:cs="Times New Roman"/>
        </w:rPr>
        <w:t xml:space="preserve"> cópia do contrato ou estatuto social da firma, registrada no órgão competente (no caso de firma constituída);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IV –</w:t>
      </w:r>
      <w:r>
        <w:rPr>
          <w:rFonts w:cs="Times New Roman"/>
        </w:rPr>
        <w:t xml:space="preserve"> cópia do registro no Cadastro Nacional de Pessoa Física – CPF ou Cadastro Nacional de Pessoa Jurídica – CNPJ, conforme for o caso;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 –</w:t>
      </w:r>
      <w:r>
        <w:rPr>
          <w:rFonts w:cs="Times New Roman"/>
        </w:rPr>
        <w:t xml:space="preserve"> registro no Cadastro de Contribuinte do ICMS ou Inscrição de Produtor Rural na Secretaria de Estado de Fazenda, conforme for o caso;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VI –</w:t>
      </w:r>
      <w:r>
        <w:rPr>
          <w:rFonts w:cs="Times New Roman"/>
        </w:rPr>
        <w:t xml:space="preserve"> alvará de funcionamento, ou documento equivalente, fornecido pela Prefeitura Municipal, quando for o caso;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VII –</w:t>
      </w:r>
      <w:r>
        <w:rPr>
          <w:rFonts w:cs="Times New Roman"/>
        </w:rPr>
        <w:t xml:space="preserve"> licença ambiental ou dispensa de licença ambiental ou protocolo de pedido de licença ambiental fornecida no prazo pelo órgão ambiental competente;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VIII –</w:t>
      </w:r>
      <w:r>
        <w:rPr>
          <w:rFonts w:cs="Times New Roman"/>
        </w:rPr>
        <w:t xml:space="preserve"> boletim de exames físico-químico e microbiológico da água de abastecimento fornecido por laboratório credenciado junto aos órgãos competentes;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IX –</w:t>
      </w:r>
      <w:r>
        <w:rPr>
          <w:rFonts w:cs="Times New Roman"/>
        </w:rPr>
        <w:t xml:space="preserve"> registro do estabelecimento junto ao Conselho de Medicina Veterinária do Estado de </w:t>
      </w:r>
      <w:r>
        <w:rPr>
          <w:rFonts w:cs="Times New Roman"/>
        </w:rPr>
        <w:lastRenderedPageBreak/>
        <w:t>Minas Gerais, quando for necessário;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X –</w:t>
      </w:r>
      <w:r>
        <w:rPr>
          <w:rFonts w:cs="Times New Roman"/>
        </w:rPr>
        <w:t xml:space="preserve"> manual de Boas Práticas de Fabricação de Alimentos – BPF deverá apresentado no máximo 06 (seis) meses após o protocolo do pedido de registro junto ao SIMLAJ.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 xml:space="preserve">XI – </w:t>
      </w:r>
      <w:r>
        <w:rPr>
          <w:rFonts w:cs="Times New Roman"/>
        </w:rPr>
        <w:t>comprovante de pagamento da taxa de registro;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XII –</w:t>
      </w:r>
      <w:r>
        <w:rPr>
          <w:rFonts w:cs="Times New Roman"/>
        </w:rPr>
        <w:t xml:space="preserve"> o registro definitivo no SIMLAJ somente será emitido após entrega dos documentos pendentes (que possuem prazo). O registro provisório terá validade de, no máximo, 02 (dois) anos.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11 –</w:t>
      </w:r>
      <w:r>
        <w:rPr>
          <w:rFonts w:cs="Times New Roman"/>
        </w:rPr>
        <w:t xml:space="preserve"> O Município cobrará taxa de expediente anual para realização e renovação de registro dos estabelecimentos e seus produtos.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12 –</w:t>
      </w:r>
      <w:r>
        <w:rPr>
          <w:rFonts w:cs="Times New Roman"/>
        </w:rPr>
        <w:t xml:space="preserve"> O registro do estabelecimento será concedido após apresentação dos documentos solicitados no art. 10 e mediante emissão de Laudo de Vistoria Final de Estabelecimento favorável.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13 –</w:t>
      </w:r>
      <w:r>
        <w:rPr>
          <w:rFonts w:cs="Times New Roman"/>
        </w:rPr>
        <w:t xml:space="preserve"> Os estabelecimentos registrados no SIMLAJ deverão garantir que as operações possam ser realizadas seguindo as boas práticas de fabricação, desde a recepção da matéria prima até a entrega do produto alimentício ao mercado consumidor.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14 –</w:t>
      </w:r>
      <w:r>
        <w:rPr>
          <w:rFonts w:cs="Times New Roman"/>
        </w:rPr>
        <w:t xml:space="preserve"> Os produtos deverão atender aos regulamentos técnicos de identidade e qualidade, aditivos alimentares, coadjuvantes de tecnologia, padrões microbiológicos e de rotulagem, conforme a legislação vigente.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1º.</w:t>
      </w:r>
      <w:r>
        <w:rPr>
          <w:rFonts w:cs="Times New Roman"/>
        </w:rPr>
        <w:t xml:space="preserve"> Os produtos que não possuam regulamentos técnicos específicos poderão ser registrados, desde que atendidos os princípios das boas práticas de fabricação e segurança de alimentos e não resultem em fraude ou engano ao consumidor.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2º</w:t>
      </w:r>
      <w:r>
        <w:rPr>
          <w:rFonts w:cs="Times New Roman"/>
          <w:b/>
        </w:rPr>
        <w:t>.</w:t>
      </w:r>
      <w:r>
        <w:rPr>
          <w:rFonts w:cs="Times New Roman"/>
        </w:rPr>
        <w:t xml:space="preserve"> O SIMLAJ poderá criar normas específicas para os produtos mencionados no parágrafo § 1º deste artigo.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15 –</w:t>
      </w:r>
      <w:r>
        <w:rPr>
          <w:rFonts w:cs="Times New Roman"/>
        </w:rPr>
        <w:t xml:space="preserve"> As autoridades de saúde pública deverão comunicar ao SIMLAJ os resultados das análises sanitárias realizadas nos produtos alimentícios de que trata esta Lei, apreendidos ou inutilizados nas diligências a seu cargo.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16 –</w:t>
      </w:r>
      <w:r>
        <w:rPr>
          <w:rFonts w:cs="Times New Roman"/>
        </w:rPr>
        <w:t xml:space="preserve"> As infrações às normas previstas na presente Lei serão punidas, isolada ou cumulativamente, com as seguintes sanções, sem prejuízo das punições de natureza civil e penal cabíveis: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lastRenderedPageBreak/>
        <w:t>I –</w:t>
      </w:r>
      <w:r>
        <w:rPr>
          <w:rFonts w:cs="Times New Roman"/>
        </w:rPr>
        <w:t xml:space="preserve"> advertência, quando o infrator for primário ou não ter agido com dolo ou má fé;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II –</w:t>
      </w:r>
      <w:r>
        <w:rPr>
          <w:rFonts w:cs="Times New Roman"/>
        </w:rPr>
        <w:t xml:space="preserve"> multa de até 100 Valores de Referência do Tesouro Estadual – VRTE, nos casos de reincidência, dolo ou má fé;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 xml:space="preserve">III – </w:t>
      </w:r>
      <w:r>
        <w:rPr>
          <w:rFonts w:cs="Times New Roman"/>
        </w:rPr>
        <w:t>apreensão e/ou inutilização de matérias primas, produtos, subprodutos, ingredientes, rótulos e embalagens, quando não apresentarem condições higiênico-sanitárias adequadas ao fim a que se destinem ou forem adulterados ou falsificados;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IV –</w:t>
      </w:r>
      <w:r>
        <w:rPr>
          <w:rFonts w:cs="Times New Roman"/>
        </w:rPr>
        <w:t xml:space="preserve"> suspensão das atividades dos estabelecimentos, se causarem risco ou ameaça de natureza higiênico-sanitária e ainda, no caso de embaraço da ação fiscalizadora;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V –</w:t>
      </w:r>
      <w:r>
        <w:rPr>
          <w:rFonts w:cs="Times New Roman"/>
        </w:rPr>
        <w:t xml:space="preserve"> interdição total ou parcial do estabelecimento, quando a infração consistir na falsificação ou adulteração de produtos ou se verificar a inexistência de condições higiênico-sanitárias adequadas.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1º.</w:t>
      </w:r>
      <w:r>
        <w:rPr>
          <w:rFonts w:cs="Times New Roman"/>
        </w:rPr>
        <w:t xml:space="preserve"> A interdição poderá ser levantada após o atendimento das irregularidades que promoveram a sanção;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2º.</w:t>
      </w:r>
      <w:r>
        <w:rPr>
          <w:rFonts w:cs="Times New Roman"/>
        </w:rPr>
        <w:t xml:space="preserve"> Se a interdição não for suspensa nos termos do inciso V, decorridos 06 (seis) meses será cancelado o respectivo registro.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3º.</w:t>
      </w:r>
      <w:r>
        <w:rPr>
          <w:rFonts w:cs="Times New Roman"/>
        </w:rPr>
        <w:t xml:space="preserve"> As multas poderão ser elevadas até o máximo de cinquenta vezes, quando o volume do negócio do infrator faça prever que a punição será ineficaz.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4º.</w:t>
      </w:r>
      <w:r>
        <w:rPr>
          <w:rFonts w:cs="Times New Roman"/>
        </w:rPr>
        <w:t xml:space="preserve"> Constituem agravantes o uso de artifício ardil, simulação, </w:t>
      </w:r>
      <w:proofErr w:type="gramStart"/>
      <w:r>
        <w:rPr>
          <w:rFonts w:cs="Times New Roman"/>
        </w:rPr>
        <w:t>desacato, embaraço</w:t>
      </w:r>
      <w:proofErr w:type="gramEnd"/>
      <w:r>
        <w:rPr>
          <w:rFonts w:cs="Times New Roman"/>
        </w:rPr>
        <w:t xml:space="preserve"> ou resistência à ação fiscal.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§ 5º.</w:t>
      </w:r>
      <w:r>
        <w:rPr>
          <w:rFonts w:cs="Times New Roman"/>
        </w:rPr>
        <w:t xml:space="preserve"> As infrações a que se refere este artigo terão regulamentação por decreto do Chefe do Poder Executivo Municipal.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17 –</w:t>
      </w:r>
      <w:r>
        <w:rPr>
          <w:rFonts w:cs="Times New Roman"/>
        </w:rPr>
        <w:t xml:space="preserve"> As penalidades impostas na forma do artigo precedente serão aplicadas pelos servidores públicos responsáveis pelo SIMLAJ, nomeados pelo Prefeito Municipal.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18 –</w:t>
      </w:r>
      <w:r>
        <w:rPr>
          <w:rFonts w:cs="Times New Roman"/>
        </w:rPr>
        <w:t xml:space="preserve"> As infrações administrativas serão apuradas em processo administrativo, assegurado o direito de ampla defesa e o contraditório, observadas as disposições desta Lei e do seu regulamento.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19 –</w:t>
      </w:r>
      <w:r>
        <w:rPr>
          <w:rFonts w:cs="Times New Roman"/>
        </w:rPr>
        <w:t xml:space="preserve"> O produto da arrecadação das taxas e das multas eventualmente impostas ficará vinculado ao órgão executor e será aplicado no financiamento e aperfeiçoamento das atividades fiscalizadoras na forma desta Lei.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lastRenderedPageBreak/>
        <w:t>Art. 20 –</w:t>
      </w:r>
      <w:r>
        <w:rPr>
          <w:rFonts w:cs="Times New Roman"/>
        </w:rPr>
        <w:t xml:space="preserve"> Os recursos financeiros necessários à </w:t>
      </w:r>
      <w:proofErr w:type="gramStart"/>
      <w:r>
        <w:rPr>
          <w:rFonts w:cs="Times New Roman"/>
        </w:rPr>
        <w:t>implementação</w:t>
      </w:r>
      <w:proofErr w:type="gramEnd"/>
      <w:r>
        <w:rPr>
          <w:rFonts w:cs="Times New Roman"/>
        </w:rPr>
        <w:t xml:space="preserve"> da presente Lei e do Serviço de Inspeção Municipal de Lajinha serão fornecidos pelas verbas alocadas na Secretaria Municipal de Agricultura e Abastecimento, constantes no Orçamento do Município.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21 –</w:t>
      </w:r>
      <w:r>
        <w:rPr>
          <w:rFonts w:cs="Times New Roman"/>
        </w:rPr>
        <w:t xml:space="preserve"> Para a consecução dos objetivos desta Lei, fica a Secretaria Municipal de Agricultura e Abastecimento autorizada a realizar convênio e termos de cooperação técnica com órgãos da Administração Direta e Indireta.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22 –</w:t>
      </w:r>
      <w:r>
        <w:rPr>
          <w:rFonts w:cs="Times New Roman"/>
        </w:rPr>
        <w:t xml:space="preserve"> O Secretário Municipal de Agricultura e Abastecimento poderá se valer de servidores de consórcios públicos, dos quais o Município participe, para a execução dos objetivos deste regulamento, </w:t>
      </w:r>
      <w:proofErr w:type="gramStart"/>
      <w:r>
        <w:rPr>
          <w:rFonts w:cs="Times New Roman"/>
        </w:rPr>
        <w:t>respeitadas</w:t>
      </w:r>
      <w:proofErr w:type="gramEnd"/>
      <w:r>
        <w:rPr>
          <w:rFonts w:cs="Times New Roman"/>
        </w:rPr>
        <w:t xml:space="preserve"> as competências.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D45B84">
        <w:rPr>
          <w:rFonts w:cs="Times New Roman"/>
          <w:b/>
        </w:rPr>
        <w:t>Art. 23 –</w:t>
      </w:r>
      <w:r>
        <w:rPr>
          <w:rFonts w:cs="Times New Roman"/>
        </w:rPr>
        <w:t xml:space="preserve"> Fica estabelecido o Selo de Inspeção Municipal (</w:t>
      </w:r>
      <w:proofErr w:type="gramStart"/>
      <w:r>
        <w:rPr>
          <w:rFonts w:cs="Times New Roman"/>
        </w:rPr>
        <w:t>S.I.</w:t>
      </w:r>
      <w:proofErr w:type="gramEnd"/>
      <w:r>
        <w:rPr>
          <w:rFonts w:cs="Times New Roman"/>
        </w:rPr>
        <w:t>M), conforme modelo que consta no Anexo Único desta Lei.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</w:t>
      </w:r>
      <w:r>
        <w:rPr>
          <w:rFonts w:cs="Times New Roman"/>
          <w:b/>
        </w:rPr>
        <w:t>4</w:t>
      </w:r>
      <w:r w:rsidRPr="00F70CD8">
        <w:rPr>
          <w:rFonts w:cs="Times New Roman"/>
          <w:b/>
        </w:rPr>
        <w:t xml:space="preserve"> –</w:t>
      </w:r>
      <w:r>
        <w:rPr>
          <w:rFonts w:cs="Times New Roman"/>
        </w:rPr>
        <w:t xml:space="preserve"> Os casos omissos ou dúvidas que surgirem na execução da presente Lei, bem como sua regulamentação, serão resolvidos através de atos normativos do Prefeito Municipal.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</w:t>
      </w:r>
      <w:r>
        <w:rPr>
          <w:rFonts w:cs="Times New Roman"/>
          <w:b/>
        </w:rPr>
        <w:t>5</w:t>
      </w:r>
      <w:r w:rsidRPr="00F70CD8">
        <w:rPr>
          <w:rFonts w:cs="Times New Roman"/>
          <w:b/>
        </w:rPr>
        <w:t xml:space="preserve"> –</w:t>
      </w:r>
      <w:r>
        <w:rPr>
          <w:rFonts w:cs="Times New Roman"/>
        </w:rPr>
        <w:t xml:space="preserve"> Ficam revogadas as disposições em contrário a esta Lei, em especial a Lei Ordinária Municipal nº 1.334/2011.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</w:t>
      </w:r>
      <w:r>
        <w:rPr>
          <w:rFonts w:cs="Times New Roman"/>
          <w:b/>
        </w:rPr>
        <w:t>6</w:t>
      </w:r>
      <w:r w:rsidRPr="00F70CD8">
        <w:rPr>
          <w:rFonts w:cs="Times New Roman"/>
          <w:b/>
        </w:rPr>
        <w:t xml:space="preserve"> –</w:t>
      </w:r>
      <w:r>
        <w:rPr>
          <w:rFonts w:cs="Times New Roman"/>
        </w:rPr>
        <w:t xml:space="preserve"> O Poder Executivo regulamentará esta Lei via decretos preferencialmente ouvindo a Secretaria Municipal de Agricultura e Abastecimento no prazo de 90 (noventa) dias, a contar da data de sua publicação.</w:t>
      </w:r>
    </w:p>
    <w:p w:rsidR="00A50826" w:rsidRPr="00F70CD8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2</w:t>
      </w:r>
      <w:r>
        <w:rPr>
          <w:rFonts w:cs="Times New Roman"/>
          <w:b/>
        </w:rPr>
        <w:t>7</w:t>
      </w:r>
      <w:r w:rsidRPr="00F70CD8">
        <w:rPr>
          <w:rFonts w:cs="Times New Roman"/>
          <w:b/>
        </w:rPr>
        <w:t xml:space="preserve"> –</w:t>
      </w:r>
      <w:r>
        <w:rPr>
          <w:rFonts w:cs="Times New Roman"/>
        </w:rPr>
        <w:t xml:space="preserve"> Esta Lei entra em vigor na data de sua publicação.</w:t>
      </w:r>
    </w:p>
    <w:p w:rsidR="00936A6E" w:rsidRDefault="00936A6E" w:rsidP="00D9085D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C26EE" w:rsidRPr="00740D5D" w:rsidRDefault="003C26EE" w:rsidP="003C26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07 de junho de 2021.</w:t>
      </w:r>
    </w:p>
    <w:p w:rsidR="003C26EE" w:rsidRPr="00740D5D" w:rsidRDefault="003C26EE" w:rsidP="003C26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26EE" w:rsidRDefault="003C26EE" w:rsidP="003C26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26EE" w:rsidRPr="00740D5D" w:rsidRDefault="003C26EE" w:rsidP="003C26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3C26EE" w:rsidRPr="00EB5FDD" w:rsidRDefault="003C26EE" w:rsidP="003C26E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3C26EE" w:rsidRDefault="003C26EE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  <w:bookmarkStart w:id="0" w:name="_GoBack"/>
      <w:bookmarkEnd w:id="0"/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Pr="002B6BD9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ANEXO ÚNICO</w:t>
      </w:r>
    </w:p>
    <w:p w:rsidR="00A50826" w:rsidRPr="002B6BD9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Pr="002B6BD9" w:rsidRDefault="00A50826" w:rsidP="00A5082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B6BD9">
        <w:rPr>
          <w:rFonts w:ascii="Times New Roman" w:hAnsi="Times New Roman"/>
          <w:b/>
          <w:bCs/>
          <w:color w:val="000000"/>
          <w:sz w:val="24"/>
          <w:szCs w:val="24"/>
        </w:rPr>
        <w:t>SELO DE INSPEÇÃO MUNICIPAL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>S.I.</w:t>
      </w:r>
      <w:proofErr w:type="gramEnd"/>
      <w:r>
        <w:rPr>
          <w:rFonts w:ascii="Times New Roman" w:hAnsi="Times New Roman"/>
          <w:b/>
          <w:bCs/>
          <w:color w:val="000000"/>
          <w:sz w:val="24"/>
          <w:szCs w:val="24"/>
        </w:rPr>
        <w:t>M)</w:t>
      </w: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986790</wp:posOffset>
            </wp:positionH>
            <wp:positionV relativeFrom="paragraph">
              <wp:posOffset>391795</wp:posOffset>
            </wp:positionV>
            <wp:extent cx="3419475" cy="3419475"/>
            <wp:effectExtent l="0" t="0" r="0" b="0"/>
            <wp:wrapNone/>
            <wp:docPr id="3" name="Imagem 3" descr="S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A50826" w:rsidRDefault="00A50826" w:rsidP="00A50826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A50826" w:rsidRDefault="00A50826" w:rsidP="00A50826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A50826" w:rsidRDefault="00A50826" w:rsidP="00A50826">
      <w:pPr>
        <w:tabs>
          <w:tab w:val="left" w:pos="2901"/>
          <w:tab w:val="center" w:pos="4394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sectPr w:rsidR="0025286C" w:rsidSect="00A508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0C9" w:rsidRDefault="004C30C9" w:rsidP="00481D1B">
      <w:pPr>
        <w:spacing w:after="0" w:line="240" w:lineRule="auto"/>
      </w:pPr>
      <w:r>
        <w:separator/>
      </w:r>
    </w:p>
  </w:endnote>
  <w:endnote w:type="continuationSeparator" w:id="0">
    <w:p w:rsidR="004C30C9" w:rsidRDefault="004C30C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9C7454F" wp14:editId="4CBACB8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0C9" w:rsidRDefault="004C30C9" w:rsidP="00481D1B">
      <w:pPr>
        <w:spacing w:after="0" w:line="240" w:lineRule="auto"/>
      </w:pPr>
      <w:r>
        <w:separator/>
      </w:r>
    </w:p>
  </w:footnote>
  <w:footnote w:type="continuationSeparator" w:id="0">
    <w:p w:rsidR="004C30C9" w:rsidRDefault="004C30C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0DAB48B" wp14:editId="114D33C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3214C"/>
    <w:rsid w:val="00073A0D"/>
    <w:rsid w:val="00074652"/>
    <w:rsid w:val="000830BD"/>
    <w:rsid w:val="00083476"/>
    <w:rsid w:val="00084350"/>
    <w:rsid w:val="000A1029"/>
    <w:rsid w:val="000B20A0"/>
    <w:rsid w:val="000C1955"/>
    <w:rsid w:val="000E4CDA"/>
    <w:rsid w:val="000E5D9C"/>
    <w:rsid w:val="000F0321"/>
    <w:rsid w:val="0011614A"/>
    <w:rsid w:val="00143C29"/>
    <w:rsid w:val="00193092"/>
    <w:rsid w:val="001E130D"/>
    <w:rsid w:val="00227A35"/>
    <w:rsid w:val="0024764A"/>
    <w:rsid w:val="0025286C"/>
    <w:rsid w:val="00263875"/>
    <w:rsid w:val="00265619"/>
    <w:rsid w:val="0027342E"/>
    <w:rsid w:val="002D5ABC"/>
    <w:rsid w:val="002F61D6"/>
    <w:rsid w:val="00301810"/>
    <w:rsid w:val="0030444F"/>
    <w:rsid w:val="00317BB5"/>
    <w:rsid w:val="00327822"/>
    <w:rsid w:val="00341603"/>
    <w:rsid w:val="00347D24"/>
    <w:rsid w:val="003A2226"/>
    <w:rsid w:val="003B3989"/>
    <w:rsid w:val="003B409A"/>
    <w:rsid w:val="003C26EE"/>
    <w:rsid w:val="003C27E3"/>
    <w:rsid w:val="003E20BA"/>
    <w:rsid w:val="003E3B94"/>
    <w:rsid w:val="003F6EB8"/>
    <w:rsid w:val="00432D90"/>
    <w:rsid w:val="00434FA7"/>
    <w:rsid w:val="004403A7"/>
    <w:rsid w:val="004611A6"/>
    <w:rsid w:val="00461A72"/>
    <w:rsid w:val="00481D1B"/>
    <w:rsid w:val="004A4022"/>
    <w:rsid w:val="004B60AC"/>
    <w:rsid w:val="004C30C9"/>
    <w:rsid w:val="00501839"/>
    <w:rsid w:val="00507A2C"/>
    <w:rsid w:val="00536150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A2343"/>
    <w:rsid w:val="007C2770"/>
    <w:rsid w:val="007C453B"/>
    <w:rsid w:val="007C48BD"/>
    <w:rsid w:val="007F78F5"/>
    <w:rsid w:val="00802FA3"/>
    <w:rsid w:val="00811650"/>
    <w:rsid w:val="00840E69"/>
    <w:rsid w:val="008811D9"/>
    <w:rsid w:val="00881CC4"/>
    <w:rsid w:val="008833B3"/>
    <w:rsid w:val="008A7E6C"/>
    <w:rsid w:val="008C0AD5"/>
    <w:rsid w:val="008C5784"/>
    <w:rsid w:val="008C5802"/>
    <w:rsid w:val="008D6D81"/>
    <w:rsid w:val="008F1C4D"/>
    <w:rsid w:val="00926811"/>
    <w:rsid w:val="009310FE"/>
    <w:rsid w:val="00936A6E"/>
    <w:rsid w:val="00943A5F"/>
    <w:rsid w:val="00961A69"/>
    <w:rsid w:val="0099150E"/>
    <w:rsid w:val="009A482B"/>
    <w:rsid w:val="009C71A5"/>
    <w:rsid w:val="00A1324F"/>
    <w:rsid w:val="00A41E33"/>
    <w:rsid w:val="00A50826"/>
    <w:rsid w:val="00A5602C"/>
    <w:rsid w:val="00A63653"/>
    <w:rsid w:val="00A718DD"/>
    <w:rsid w:val="00A81695"/>
    <w:rsid w:val="00A926CD"/>
    <w:rsid w:val="00AC28AD"/>
    <w:rsid w:val="00AD11DF"/>
    <w:rsid w:val="00AD3951"/>
    <w:rsid w:val="00AE1C13"/>
    <w:rsid w:val="00AE794D"/>
    <w:rsid w:val="00AF03F8"/>
    <w:rsid w:val="00AF5BE1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4B2F"/>
    <w:rsid w:val="00BC5B9C"/>
    <w:rsid w:val="00BC72EE"/>
    <w:rsid w:val="00C07F8C"/>
    <w:rsid w:val="00C43C3F"/>
    <w:rsid w:val="00C462D7"/>
    <w:rsid w:val="00C50537"/>
    <w:rsid w:val="00C61D2F"/>
    <w:rsid w:val="00C6737D"/>
    <w:rsid w:val="00C848B7"/>
    <w:rsid w:val="00C86911"/>
    <w:rsid w:val="00CB04A3"/>
    <w:rsid w:val="00CB69A6"/>
    <w:rsid w:val="00CD6187"/>
    <w:rsid w:val="00CD7E04"/>
    <w:rsid w:val="00CE56EF"/>
    <w:rsid w:val="00CF724A"/>
    <w:rsid w:val="00D22CF8"/>
    <w:rsid w:val="00D46A46"/>
    <w:rsid w:val="00D573D9"/>
    <w:rsid w:val="00D9085D"/>
    <w:rsid w:val="00DB6FB8"/>
    <w:rsid w:val="00DC0C3D"/>
    <w:rsid w:val="00DE5AF3"/>
    <w:rsid w:val="00E05006"/>
    <w:rsid w:val="00E265E0"/>
    <w:rsid w:val="00E47023"/>
    <w:rsid w:val="00E51089"/>
    <w:rsid w:val="00E74A0C"/>
    <w:rsid w:val="00EB3672"/>
    <w:rsid w:val="00EB5FDD"/>
    <w:rsid w:val="00EC5971"/>
    <w:rsid w:val="00F11BBD"/>
    <w:rsid w:val="00F2231E"/>
    <w:rsid w:val="00F22EAA"/>
    <w:rsid w:val="00F310A3"/>
    <w:rsid w:val="00F41E38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4EDB4-0318-48B2-AD58-5E2CDCD1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1765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2021-06-07T16:51:00Z</cp:lastPrinted>
  <dcterms:created xsi:type="dcterms:W3CDTF">2021-06-09T17:35:00Z</dcterms:created>
  <dcterms:modified xsi:type="dcterms:W3CDTF">2021-06-09T17:35:00Z</dcterms:modified>
</cp:coreProperties>
</file>