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877B9" w14:textId="77777777" w:rsidR="00A97088" w:rsidRPr="00A97088" w:rsidRDefault="00A97088" w:rsidP="00A97088">
      <w:pPr>
        <w:rPr>
          <w:b/>
          <w:bCs/>
        </w:rPr>
      </w:pPr>
      <w:r w:rsidRPr="00A97088">
        <w:rPr>
          <w:b/>
          <w:bCs/>
        </w:rPr>
        <w:t>PARECER DA COMISSÃO DE JUSTIÇA E REDAÇÃO</w:t>
      </w:r>
    </w:p>
    <w:p w14:paraId="7C8F43A2" w14:textId="77777777" w:rsidR="00A97088" w:rsidRDefault="00A97088" w:rsidP="00A97088">
      <w:pPr>
        <w:jc w:val="both"/>
        <w:rPr>
          <w:b/>
          <w:bCs/>
        </w:rPr>
      </w:pPr>
      <w:r w:rsidRPr="00A97088">
        <w:rPr>
          <w:b/>
          <w:bCs/>
        </w:rPr>
        <w:t>Projeto de Lei Complementar nº 108/2025</w:t>
      </w:r>
    </w:p>
    <w:p w14:paraId="0C336690" w14:textId="584D8BFF" w:rsidR="00A97088" w:rsidRDefault="00A97088" w:rsidP="00A97088">
      <w:pPr>
        <w:jc w:val="both"/>
        <w:rPr>
          <w:b/>
          <w:bCs/>
        </w:rPr>
      </w:pPr>
      <w:r>
        <w:rPr>
          <w:b/>
          <w:bCs/>
        </w:rPr>
        <w:t>Parecer nº 124.2025</w:t>
      </w:r>
    </w:p>
    <w:p w14:paraId="41A5DFBB" w14:textId="6CC5D528" w:rsidR="00A97088" w:rsidRPr="00A97088" w:rsidRDefault="00A97088" w:rsidP="00A97088">
      <w:pPr>
        <w:ind w:left="2124"/>
        <w:jc w:val="both"/>
      </w:pPr>
      <w:r w:rsidRPr="00A97088">
        <w:br/>
        <w:t xml:space="preserve">Ementa: </w:t>
      </w:r>
      <w:r w:rsidRPr="00A97088">
        <w:rPr>
          <w:i/>
          <w:iCs/>
        </w:rPr>
        <w:t>Regulamenta o parágrafo único do Art. 357 da Lei Complementar nº 3.262, de 14 de novembro de 2024, que institui o Código Tributário do Município de Santo Antônio do Sudoeste, estabelecendo alíquota especial para o Imposto Sobre Serviços de Qualquer Natureza – ISSQN sobre a mão-de-obra empregada na atividade de construção civil de programas habitacionais destinados a famílias consideradas de baixa renda.</w:t>
      </w:r>
    </w:p>
    <w:p w14:paraId="1384D583" w14:textId="567BF729" w:rsidR="00A97088" w:rsidRPr="00A97088" w:rsidRDefault="00A97088" w:rsidP="00A97088"/>
    <w:p w14:paraId="69FFCE7D" w14:textId="77777777" w:rsidR="00A97088" w:rsidRPr="00A97088" w:rsidRDefault="00A97088" w:rsidP="00A97088">
      <w:pPr>
        <w:rPr>
          <w:b/>
          <w:bCs/>
        </w:rPr>
      </w:pPr>
      <w:r w:rsidRPr="00A97088">
        <w:rPr>
          <w:b/>
          <w:bCs/>
        </w:rPr>
        <w:t>I – RELATÓRIO</w:t>
      </w:r>
    </w:p>
    <w:p w14:paraId="15A191B1" w14:textId="32009E17" w:rsidR="00A97088" w:rsidRPr="00A97088" w:rsidRDefault="00A97088" w:rsidP="00A97088">
      <w:pPr>
        <w:jc w:val="both"/>
      </w:pPr>
      <w:r w:rsidRPr="00A97088">
        <w:t>Chegou a esta Comissão o Projeto de Lei Complementar nº 108/2025, de autoria do Poder Executivo Municipal, que regulamenta o parágrafo único do art. 357 da Lei Complementar nº 3.262/2024 (Código Tributário Municipal), estabelecendo alíquota especial de 1% (um por cento) do ISSQN incidente sobre a mão-de-obra empregada na atividade de construção civil em programas habitacionais destinados a famílias de baixa renda</w:t>
      </w:r>
      <w:r>
        <w:t>.</w:t>
      </w:r>
    </w:p>
    <w:p w14:paraId="5FCB0C04" w14:textId="77777777" w:rsidR="00A97088" w:rsidRPr="00A97088" w:rsidRDefault="00A97088" w:rsidP="00A97088">
      <w:r w:rsidRPr="00A97088">
        <w:t>O projeto prevê mecanismos de comprovação e fiscalização para assegurar que o benefício fiscal seja concedido apenas em empreendimentos de interesse social devidamente validados pelo Poder Executivo, com destinação exclusiva a famílias de baixa renda.</w:t>
      </w:r>
    </w:p>
    <w:p w14:paraId="0B98F1FD" w14:textId="5CBD93C6" w:rsidR="00A97088" w:rsidRPr="00A97088" w:rsidRDefault="00A97088" w:rsidP="00A97088"/>
    <w:p w14:paraId="0588260B" w14:textId="77777777" w:rsidR="00A97088" w:rsidRPr="00A97088" w:rsidRDefault="00A97088" w:rsidP="00A97088">
      <w:pPr>
        <w:rPr>
          <w:b/>
          <w:bCs/>
        </w:rPr>
      </w:pPr>
      <w:r w:rsidRPr="00A97088">
        <w:rPr>
          <w:b/>
          <w:bCs/>
        </w:rPr>
        <w:t>II – MÉRITO</w:t>
      </w:r>
    </w:p>
    <w:p w14:paraId="53283123" w14:textId="77777777" w:rsidR="00A97088" w:rsidRPr="00A97088" w:rsidRDefault="00A97088" w:rsidP="00A97088">
      <w:pPr>
        <w:jc w:val="both"/>
      </w:pPr>
      <w:r w:rsidRPr="00A97088">
        <w:t xml:space="preserve">A análise desta Comissão deve se restringir aos aspectos de constitucionalidade, legalidade, juridicidade, </w:t>
      </w:r>
      <w:proofErr w:type="spellStart"/>
      <w:r w:rsidRPr="00A97088">
        <w:t>regimentalidade</w:t>
      </w:r>
      <w:proofErr w:type="spellEnd"/>
      <w:r w:rsidRPr="00A97088">
        <w:t xml:space="preserve"> e técnica legislativa.</w:t>
      </w:r>
    </w:p>
    <w:p w14:paraId="47F1EDF2" w14:textId="77777777" w:rsidR="00A97088" w:rsidRPr="00A97088" w:rsidRDefault="00A97088" w:rsidP="00A97088">
      <w:pPr>
        <w:jc w:val="both"/>
      </w:pPr>
      <w:r w:rsidRPr="00A97088">
        <w:t>O projeto está em consonância com a Constituição Federal, que autoriza os Municípios a legislar sobre matéria tributária (art. 30, I e III), bem como com a legislação nacional aplicável ao ISSQN (LC nº 116/2003).</w:t>
      </w:r>
    </w:p>
    <w:p w14:paraId="27423BC6" w14:textId="77777777" w:rsidR="00A97088" w:rsidRPr="00A97088" w:rsidRDefault="00A97088" w:rsidP="00A97088">
      <w:pPr>
        <w:jc w:val="both"/>
      </w:pPr>
      <w:r w:rsidRPr="00A97088">
        <w:lastRenderedPageBreak/>
        <w:t>No campo da juridicidade, não se identificam conflitos com normas superiores, sendo a medida compatível com os princípios da função social da cidade e do direito à moradia.</w:t>
      </w:r>
    </w:p>
    <w:p w14:paraId="32FBF31F" w14:textId="77777777" w:rsidR="00A97088" w:rsidRPr="00A97088" w:rsidRDefault="00A97088" w:rsidP="00A97088">
      <w:pPr>
        <w:jc w:val="both"/>
      </w:pPr>
      <w:r w:rsidRPr="00A97088">
        <w:t xml:space="preserve">Quanto à técnica legislativa, observa-se que o texto respeita as normas da </w:t>
      </w:r>
      <w:r w:rsidRPr="00A97088">
        <w:rPr>
          <w:b/>
          <w:bCs/>
        </w:rPr>
        <w:t>Lei Complementar nº 95/1998</w:t>
      </w:r>
      <w:r w:rsidRPr="00A97088">
        <w:t>, estando redigido de forma clara e precisa, apresentando definição dos conceitos, critérios de aplicação e hipóteses de perda do benefício.</w:t>
      </w:r>
    </w:p>
    <w:p w14:paraId="06AABE16" w14:textId="77777777" w:rsidR="00A97088" w:rsidRPr="00A97088" w:rsidRDefault="00A97088" w:rsidP="00A97088">
      <w:pPr>
        <w:jc w:val="both"/>
      </w:pPr>
      <w:r w:rsidRPr="00A97088">
        <w:t>Portanto, não se verificam vícios de inconstitucionalidade, ilegalidade ou de técnica legislativa que impeçam a tramitação do projeto.</w:t>
      </w:r>
    </w:p>
    <w:p w14:paraId="5F4B12F4" w14:textId="6FDAEE57" w:rsidR="00A97088" w:rsidRPr="00A97088" w:rsidRDefault="00A97088" w:rsidP="00A97088"/>
    <w:p w14:paraId="5E2306FC" w14:textId="77777777" w:rsidR="00A97088" w:rsidRPr="00A97088" w:rsidRDefault="00A97088" w:rsidP="00A97088">
      <w:pPr>
        <w:rPr>
          <w:b/>
          <w:bCs/>
        </w:rPr>
      </w:pPr>
      <w:r w:rsidRPr="00A97088">
        <w:rPr>
          <w:b/>
          <w:bCs/>
        </w:rPr>
        <w:t>III – CONCLUSÃO</w:t>
      </w:r>
    </w:p>
    <w:p w14:paraId="00CFE46B" w14:textId="77777777" w:rsidR="00A97088" w:rsidRPr="00A97088" w:rsidRDefault="00A97088" w:rsidP="00A97088">
      <w:pPr>
        <w:jc w:val="both"/>
      </w:pPr>
      <w:r w:rsidRPr="00A97088">
        <w:t xml:space="preserve">Diante do exposto, a Comissão de Justiça e Redação manifesta-se pela </w:t>
      </w:r>
      <w:r w:rsidRPr="00A97088">
        <w:rPr>
          <w:b/>
          <w:bCs/>
        </w:rPr>
        <w:t>constitucionalidade, juridicidade e boa técnica legislativa</w:t>
      </w:r>
      <w:r w:rsidRPr="00A97088">
        <w:t xml:space="preserve"> do Projeto de Lei Complementar nº 108/2025, opinando favoravelmente à sua tramitação.</w:t>
      </w:r>
    </w:p>
    <w:p w14:paraId="427A7B71" w14:textId="3CF67086" w:rsidR="00A97088" w:rsidRPr="00A97088" w:rsidRDefault="00A97088" w:rsidP="00A97088"/>
    <w:p w14:paraId="6FDE7C16" w14:textId="3C9247E2" w:rsidR="00A97088" w:rsidRPr="00A97088" w:rsidRDefault="00A97088" w:rsidP="00A97088">
      <w:pPr>
        <w:jc w:val="right"/>
      </w:pPr>
      <w:r w:rsidRPr="00A97088">
        <w:t xml:space="preserve">Sala das Comissões, </w:t>
      </w:r>
      <w:r w:rsidRPr="00A97088">
        <w:t>08 de setembro de 2025.</w:t>
      </w:r>
    </w:p>
    <w:p w14:paraId="799BC90E" w14:textId="77777777" w:rsidR="00A97088" w:rsidRPr="00A97088" w:rsidRDefault="00A97088" w:rsidP="00A97088">
      <w:pPr>
        <w:rPr>
          <w:b/>
          <w:bCs/>
        </w:rPr>
      </w:pPr>
      <w:r w:rsidRPr="00A97088">
        <w:rPr>
          <w:b/>
          <w:bCs/>
        </w:rPr>
        <w:t>_________________________________</w:t>
      </w:r>
      <w:r w:rsidRPr="00A97088">
        <w:br/>
      </w:r>
      <w:r w:rsidRPr="00A97088">
        <w:rPr>
          <w:b/>
          <w:bCs/>
        </w:rPr>
        <w:t>CLAUDIO ALAIN GUTERRES DO CARMO</w:t>
      </w:r>
    </w:p>
    <w:p w14:paraId="454B3BB9" w14:textId="105074C1" w:rsidR="00A97088" w:rsidRPr="00A97088" w:rsidRDefault="00A97088" w:rsidP="00A97088">
      <w:r w:rsidRPr="00A97088">
        <w:t>Presidente</w:t>
      </w:r>
    </w:p>
    <w:p w14:paraId="2344CB87" w14:textId="19BB1562" w:rsidR="00A97088" w:rsidRPr="00A97088" w:rsidRDefault="00A97088" w:rsidP="00A97088">
      <w:pPr>
        <w:rPr>
          <w:b/>
          <w:bCs/>
        </w:rPr>
      </w:pPr>
      <w:r w:rsidRPr="00A97088">
        <w:rPr>
          <w:b/>
          <w:bCs/>
        </w:rPr>
        <w:t>_________________________________</w:t>
      </w:r>
      <w:r w:rsidRPr="00A97088">
        <w:br/>
      </w:r>
      <w:r w:rsidRPr="00A97088">
        <w:rPr>
          <w:b/>
          <w:bCs/>
        </w:rPr>
        <w:t>CLAIRTON ANTONIO CAUDURO</w:t>
      </w:r>
    </w:p>
    <w:p w14:paraId="723EF90D" w14:textId="687D2016" w:rsidR="00A97088" w:rsidRPr="00A97088" w:rsidRDefault="00A97088" w:rsidP="00A97088">
      <w:r w:rsidRPr="00A97088">
        <w:t>Relator</w:t>
      </w:r>
    </w:p>
    <w:p w14:paraId="0332F844" w14:textId="456E1E83" w:rsidR="00A97088" w:rsidRPr="00A97088" w:rsidRDefault="00A97088" w:rsidP="00A97088">
      <w:pPr>
        <w:rPr>
          <w:b/>
          <w:bCs/>
        </w:rPr>
      </w:pPr>
      <w:r w:rsidRPr="00A97088">
        <w:rPr>
          <w:b/>
          <w:bCs/>
        </w:rPr>
        <w:t>_________________________________</w:t>
      </w:r>
      <w:r w:rsidRPr="00A97088">
        <w:br/>
      </w:r>
      <w:r w:rsidRPr="00A97088">
        <w:rPr>
          <w:b/>
          <w:bCs/>
        </w:rPr>
        <w:t>MICHELI ALVES DE LIMA</w:t>
      </w:r>
    </w:p>
    <w:p w14:paraId="74E5678C" w14:textId="39300B6C" w:rsidR="00A97088" w:rsidRPr="00A97088" w:rsidRDefault="00A97088" w:rsidP="00A97088">
      <w:r w:rsidRPr="00A97088">
        <w:t>Membro</w:t>
      </w:r>
    </w:p>
    <w:p w14:paraId="2E629B02" w14:textId="77777777" w:rsidR="00A97088" w:rsidRDefault="00A97088"/>
    <w:sectPr w:rsidR="00A97088" w:rsidSect="00A97088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088"/>
    <w:rsid w:val="00A97088"/>
    <w:rsid w:val="00D96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D1FA3"/>
  <w15:chartTrackingRefBased/>
  <w15:docId w15:val="{6C4042F7-6259-45D5-ABD5-D9EA7FDDC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970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970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970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70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70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970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970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970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970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970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970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970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970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970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970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970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970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970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970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970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970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970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970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970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970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970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970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970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970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2025-09-08T12:16:00Z</cp:lastPrinted>
  <dcterms:created xsi:type="dcterms:W3CDTF">2025-09-08T12:10:00Z</dcterms:created>
  <dcterms:modified xsi:type="dcterms:W3CDTF">2025-09-08T12:17:00Z</dcterms:modified>
</cp:coreProperties>
</file>