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ABD84" w14:textId="77777777" w:rsidR="00E830ED" w:rsidRPr="00E830ED" w:rsidRDefault="00E830ED" w:rsidP="00E830ED">
      <w:pPr>
        <w:jc w:val="both"/>
        <w:rPr>
          <w:rFonts w:ascii="Garamond" w:hAnsi="Garamond"/>
          <w:b/>
          <w:bCs/>
        </w:rPr>
      </w:pPr>
      <w:r w:rsidRPr="00E830ED">
        <w:rPr>
          <w:rFonts w:ascii="Garamond" w:hAnsi="Garamond"/>
          <w:b/>
          <w:bCs/>
        </w:rPr>
        <w:t>PARECER CONJUNTO DA COMISSÃO DE CONSTITUIÇÃO E JUSTIÇA SOBRE OS PROJETOS DE LEI Nº 49/2026, 50/2026 E 59/2026</w:t>
      </w:r>
    </w:p>
    <w:p w14:paraId="05FDFC2D" w14:textId="77777777" w:rsidR="00E830ED" w:rsidRPr="00246E54" w:rsidRDefault="00E830ED" w:rsidP="00E830ED">
      <w:pPr>
        <w:jc w:val="both"/>
        <w:rPr>
          <w:rFonts w:ascii="Garamond" w:hAnsi="Garamond"/>
        </w:rPr>
      </w:pPr>
    </w:p>
    <w:p w14:paraId="6A5B5B20" w14:textId="77777777" w:rsidR="00E830ED" w:rsidRPr="00E830ED" w:rsidRDefault="00E830ED" w:rsidP="00E830ED">
      <w:pPr>
        <w:jc w:val="both"/>
        <w:rPr>
          <w:rFonts w:ascii="Garamond" w:hAnsi="Garamond"/>
          <w:sz w:val="20"/>
          <w:szCs w:val="20"/>
          <w:u w:val="single"/>
        </w:rPr>
      </w:pPr>
      <w:bookmarkStart w:id="0" w:name="_Hlk223560180"/>
      <w:r w:rsidRPr="004E5370">
        <w:rPr>
          <w:rFonts w:ascii="Garamond" w:hAnsi="Garamond"/>
          <w:b/>
          <w:bCs/>
          <w:sz w:val="22"/>
          <w:szCs w:val="22"/>
        </w:rPr>
        <w:t>EMENTA:</w:t>
      </w:r>
      <w:r w:rsidRPr="004E5370">
        <w:rPr>
          <w:rFonts w:ascii="Garamond" w:hAnsi="Garamond"/>
          <w:sz w:val="22"/>
          <w:szCs w:val="22"/>
        </w:rPr>
        <w:t xml:space="preserve"> </w:t>
      </w:r>
      <w:r w:rsidRPr="00E830ED">
        <w:rPr>
          <w:rFonts w:ascii="Garamond" w:hAnsi="Garamond"/>
          <w:sz w:val="20"/>
          <w:szCs w:val="20"/>
          <w:u w:val="single"/>
        </w:rPr>
        <w:t>PARECER. PROJETOS DE LEI DE AUTORIA DO PODER EXECUTIVO. PL Nº 49/2026 (CONSELHO DA PESSOA COM DEFICIÊNCIA). PL Nº 50/2026 (FUNDO E CONSELHO DE HABITAÇÃO). PL Nº 59/2026 (REFIS 2026). MATÉRIAS DE COMPETÊNCIA PRIVATIVA DO CHEFE DO EXECUTIVO. ORGANIZAÇÃO ADMINISTRATIVA E MATÉRIA TRIBUTÁRIA (RENÚNCIA DE RECEITA). INEXISTÊNCIA DE VÍCIOS DE INICIATIVA. OBSERVÂNCIA DOS REQUISITOS CONSTITUCIONAIS E LEGAIS. PELA CONSTITUCIONALIDADE E LEGALIDADE DAS PROPOSIÇÕES.</w:t>
      </w:r>
    </w:p>
    <w:p w14:paraId="0E4B86E8" w14:textId="4DC3C685" w:rsidR="00E830ED" w:rsidRPr="00246E54" w:rsidRDefault="00E830ED" w:rsidP="00E830ED">
      <w:pPr>
        <w:jc w:val="both"/>
        <w:rPr>
          <w:rFonts w:ascii="Garamond" w:hAnsi="Garamond"/>
        </w:rPr>
      </w:pPr>
    </w:p>
    <w:bookmarkEnd w:id="0"/>
    <w:p w14:paraId="0283301A" w14:textId="77777777" w:rsidR="00E830ED" w:rsidRPr="00246E54" w:rsidRDefault="00E830ED" w:rsidP="00E830ED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 – </w:t>
      </w:r>
      <w:r>
        <w:rPr>
          <w:rFonts w:ascii="Garamond" w:hAnsi="Garamond"/>
          <w:b/>
          <w:bCs/>
        </w:rPr>
        <w:t>RELATÓRIO</w:t>
      </w:r>
    </w:p>
    <w:p w14:paraId="72E50E8F" w14:textId="77777777" w:rsidR="00E830ED" w:rsidRP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</w:rPr>
        <w:t>Submetem-se a esta Comissão de Constituição e Justiça (CCJ), para análise de sua constitucionalidade e legalidade, os seguintes Projetos de Lei de autoria do Chefe do Poder Executivo:</w:t>
      </w:r>
    </w:p>
    <w:p w14:paraId="586C8B91" w14:textId="77777777" w:rsidR="00E830ED" w:rsidRPr="00E830ED" w:rsidRDefault="00E830ED" w:rsidP="00E830ED">
      <w:pPr>
        <w:numPr>
          <w:ilvl w:val="0"/>
          <w:numId w:val="1"/>
        </w:num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Projeto de Lei nº 49/2026:</w:t>
      </w:r>
      <w:r w:rsidRPr="00E830ED">
        <w:rPr>
          <w:rFonts w:ascii="Garamond" w:hAnsi="Garamond"/>
        </w:rPr>
        <w:t xml:space="preserve"> Altera a Lei Municipal nº 2.297/2025, para modificar a composição do Conselho Municipal dos Direitos da Pessoa com Deficiência, visando maior representatividade e equilíbrio entre o Poder Público e a Sociedade Civil.</w:t>
      </w:r>
    </w:p>
    <w:p w14:paraId="5733312F" w14:textId="77777777" w:rsidR="00E830ED" w:rsidRPr="00E830ED" w:rsidRDefault="00E830ED" w:rsidP="00E830ED">
      <w:pPr>
        <w:numPr>
          <w:ilvl w:val="0"/>
          <w:numId w:val="1"/>
        </w:num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Projeto de Lei nº 50/2026:</w:t>
      </w:r>
      <w:r w:rsidRPr="00E830ED">
        <w:rPr>
          <w:rFonts w:ascii="Garamond" w:hAnsi="Garamond"/>
        </w:rPr>
        <w:t xml:space="preserve"> Altera a Lei Municipal nº 679/2005, que dispõe sobre o Fundo Municipal de Habitação (FMH) e o Conselho Municipal de Habitação (CMH), adequando-os à legislação federal recente (como o Programa Minha Casa, Minha Vida) e fortalecendo o controle social e a transparência.</w:t>
      </w:r>
    </w:p>
    <w:p w14:paraId="61F2CD69" w14:textId="77777777" w:rsidR="00E830ED" w:rsidRPr="00E830ED" w:rsidRDefault="00E830ED" w:rsidP="00E830ED">
      <w:pPr>
        <w:numPr>
          <w:ilvl w:val="0"/>
          <w:numId w:val="1"/>
        </w:num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Projeto de Lei nº 59/2026:</w:t>
      </w:r>
      <w:r w:rsidRPr="00E830ED">
        <w:rPr>
          <w:rFonts w:ascii="Garamond" w:hAnsi="Garamond"/>
        </w:rPr>
        <w:t xml:space="preserve"> Institui o Programa de Recuperação Fiscal (REFIS 2026), destinado a promover a regularização de créditos tributários (IPTU, ISSQN e taxas) ocorridos até 31 de dezembro de 2025, mediante a concessão de anistia parcial de juros e multas para pagamento à vista ou parcelado.</w:t>
      </w:r>
    </w:p>
    <w:p w14:paraId="5645DB5F" w14:textId="780A7178" w:rsidR="00E830ED" w:rsidRPr="007E566E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</w:rPr>
        <w:t>Compete a esta Comissão, nos termos do Regimento Interno, a análise da admissibilidade das proposições, focando em sua compatibilidade com a Lei Orgânica Municipal e o ordenamento jurídico vigente.</w:t>
      </w:r>
    </w:p>
    <w:p w14:paraId="50FDC14C" w14:textId="77777777" w:rsidR="00E830ED" w:rsidRPr="00246E54" w:rsidRDefault="00E830ED" w:rsidP="00E830ED">
      <w:pPr>
        <w:ind w:left="720"/>
        <w:jc w:val="both"/>
        <w:rPr>
          <w:rFonts w:ascii="Garamond" w:hAnsi="Garamond"/>
        </w:rPr>
      </w:pPr>
    </w:p>
    <w:p w14:paraId="31ED6F21" w14:textId="77777777" w:rsidR="00E830ED" w:rsidRDefault="00E830ED" w:rsidP="00E830ED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II – DA ANALISE CONSTITUCIONAL </w:t>
      </w:r>
    </w:p>
    <w:p w14:paraId="41F74200" w14:textId="77777777" w:rsidR="00E830ED" w:rsidRDefault="00E830ED" w:rsidP="00E830ED">
      <w:pPr>
        <w:jc w:val="both"/>
        <w:rPr>
          <w:rFonts w:ascii="Garamond" w:hAnsi="Garamond"/>
          <w:b/>
          <w:bCs/>
        </w:rPr>
      </w:pPr>
    </w:p>
    <w:p w14:paraId="1CDC599F" w14:textId="77777777" w:rsidR="00E830ED" w:rsidRPr="00E830ED" w:rsidRDefault="00E830ED" w:rsidP="00E830ED">
      <w:pPr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1. Da Competência e Iniciativa Legislativa</w:t>
      </w:r>
    </w:p>
    <w:p w14:paraId="4C66E3CE" w14:textId="0F326D77" w:rsidR="00E830ED" w:rsidRP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</w:rPr>
        <w:t>Todos os projetos foram propostos pelo Poder Executivo. A análise da matéria de cada um revela que se inserem na competência privativa do Prefeito, conforme estabelecido na Lei Orgânica do Município:</w:t>
      </w:r>
    </w:p>
    <w:p w14:paraId="223E34C6" w14:textId="77777777" w:rsidR="00E830ED" w:rsidRP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Lei Orgânica do Município de Guarabira:</w:t>
      </w:r>
      <w:r w:rsidRPr="00E830ED">
        <w:rPr>
          <w:rFonts w:ascii="Garamond" w:hAnsi="Garamond"/>
        </w:rPr>
        <w:t xml:space="preserve"> </w:t>
      </w:r>
      <w:r w:rsidRPr="00E830ED">
        <w:rPr>
          <w:rFonts w:ascii="Garamond" w:hAnsi="Garamond"/>
          <w:b/>
          <w:bCs/>
        </w:rPr>
        <w:t>Art. 44.</w:t>
      </w:r>
      <w:r w:rsidRPr="00E830ED">
        <w:rPr>
          <w:rFonts w:ascii="Garamond" w:hAnsi="Garamond"/>
        </w:rPr>
        <w:t xml:space="preserve"> É de competência exclusiva do Prefeito a iniciativa das leis que: (...) </w:t>
      </w:r>
      <w:r w:rsidRPr="00E830ED">
        <w:rPr>
          <w:rFonts w:ascii="Garamond" w:hAnsi="Garamond"/>
          <w:b/>
          <w:bCs/>
        </w:rPr>
        <w:t>III -</w:t>
      </w:r>
      <w:r w:rsidRPr="00E830ED">
        <w:rPr>
          <w:rFonts w:ascii="Garamond" w:hAnsi="Garamond"/>
        </w:rPr>
        <w:t xml:space="preserve"> organização administrativa, </w:t>
      </w:r>
      <w:r w:rsidRPr="00E830ED">
        <w:rPr>
          <w:rFonts w:ascii="Garamond" w:hAnsi="Garamond"/>
          <w:b/>
          <w:bCs/>
        </w:rPr>
        <w:t>matéria tributária</w:t>
      </w:r>
      <w:r w:rsidRPr="00E830ED">
        <w:rPr>
          <w:rFonts w:ascii="Garamond" w:hAnsi="Garamond"/>
        </w:rPr>
        <w:t xml:space="preserve"> e </w:t>
      </w:r>
      <w:r w:rsidRPr="00E830ED">
        <w:rPr>
          <w:rFonts w:ascii="Garamond" w:hAnsi="Garamond"/>
        </w:rPr>
        <w:lastRenderedPageBreak/>
        <w:t xml:space="preserve">orçamentária e seus serviços públicos; </w:t>
      </w:r>
      <w:r w:rsidRPr="00E830ED">
        <w:rPr>
          <w:rFonts w:ascii="Garamond" w:hAnsi="Garamond"/>
          <w:b/>
          <w:bCs/>
        </w:rPr>
        <w:t>V -</w:t>
      </w:r>
      <w:r w:rsidRPr="00E830ED">
        <w:rPr>
          <w:rFonts w:ascii="Garamond" w:hAnsi="Garamond"/>
        </w:rPr>
        <w:t xml:space="preserve"> criação, estruturação e atribuições das secretarias e </w:t>
      </w:r>
      <w:r w:rsidRPr="00E830ED">
        <w:rPr>
          <w:rFonts w:ascii="Garamond" w:hAnsi="Garamond"/>
          <w:b/>
          <w:bCs/>
        </w:rPr>
        <w:t>órgãos da administração pública</w:t>
      </w:r>
      <w:r w:rsidRPr="00E830ED">
        <w:rPr>
          <w:rFonts w:ascii="Garamond" w:hAnsi="Garamond"/>
        </w:rPr>
        <w:t xml:space="preserve">; </w:t>
      </w:r>
      <w:r w:rsidRPr="00E830ED">
        <w:rPr>
          <w:rFonts w:ascii="Garamond" w:hAnsi="Garamond"/>
          <w:b/>
          <w:bCs/>
        </w:rPr>
        <w:t>VI -</w:t>
      </w:r>
      <w:r w:rsidRPr="00E830ED">
        <w:rPr>
          <w:rFonts w:ascii="Garamond" w:hAnsi="Garamond"/>
        </w:rPr>
        <w:t xml:space="preserve"> concedem subvenção ou auxílio de qualquer modo, autorizem, criem ou aumentem a despesa pública ou </w:t>
      </w:r>
      <w:r w:rsidRPr="00E830ED">
        <w:rPr>
          <w:rFonts w:ascii="Garamond" w:hAnsi="Garamond"/>
          <w:b/>
          <w:bCs/>
        </w:rPr>
        <w:t>diminuam a receita</w:t>
      </w:r>
      <w:r w:rsidRPr="00E830ED">
        <w:rPr>
          <w:rFonts w:ascii="Garamond" w:hAnsi="Garamond"/>
        </w:rPr>
        <w:t>.</w:t>
      </w:r>
    </w:p>
    <w:p w14:paraId="477B48BA" w14:textId="77777777" w:rsidR="00E830ED" w:rsidRPr="00E830ED" w:rsidRDefault="00E830ED" w:rsidP="00E830ED">
      <w:pPr>
        <w:numPr>
          <w:ilvl w:val="0"/>
          <w:numId w:val="2"/>
        </w:numPr>
        <w:jc w:val="both"/>
        <w:rPr>
          <w:rFonts w:ascii="Garamond" w:hAnsi="Garamond"/>
        </w:rPr>
      </w:pPr>
      <w:r w:rsidRPr="00E830ED">
        <w:rPr>
          <w:rFonts w:ascii="Garamond" w:hAnsi="Garamond"/>
        </w:rPr>
        <w:t xml:space="preserve">Os </w:t>
      </w:r>
      <w:r w:rsidRPr="00E830ED">
        <w:rPr>
          <w:rFonts w:ascii="Garamond" w:hAnsi="Garamond"/>
          <w:b/>
          <w:bCs/>
        </w:rPr>
        <w:t>Projetos de Lei nº 49/2026 e 50/2026</w:t>
      </w:r>
      <w:r w:rsidRPr="00E830ED">
        <w:rPr>
          <w:rFonts w:ascii="Garamond" w:hAnsi="Garamond"/>
        </w:rPr>
        <w:t xml:space="preserve"> tratam claramente da </w:t>
      </w:r>
      <w:r w:rsidRPr="00E830ED">
        <w:rPr>
          <w:rFonts w:ascii="Garamond" w:hAnsi="Garamond"/>
          <w:b/>
          <w:bCs/>
        </w:rPr>
        <w:t>organização administrativa</w:t>
      </w:r>
      <w:r w:rsidRPr="00E830ED">
        <w:rPr>
          <w:rFonts w:ascii="Garamond" w:hAnsi="Garamond"/>
        </w:rPr>
        <w:t xml:space="preserve"> (inciso V), ao reestruturarem a composição e as atribuições de conselhos municipais, que são órgãos da administração.</w:t>
      </w:r>
    </w:p>
    <w:p w14:paraId="5FA1D545" w14:textId="77777777" w:rsidR="00E830ED" w:rsidRPr="00E830ED" w:rsidRDefault="00E830ED" w:rsidP="00E830ED">
      <w:pPr>
        <w:numPr>
          <w:ilvl w:val="0"/>
          <w:numId w:val="2"/>
        </w:numPr>
        <w:jc w:val="both"/>
        <w:rPr>
          <w:rFonts w:ascii="Garamond" w:hAnsi="Garamond"/>
        </w:rPr>
      </w:pPr>
      <w:r w:rsidRPr="00E830ED">
        <w:rPr>
          <w:rFonts w:ascii="Garamond" w:hAnsi="Garamond"/>
        </w:rPr>
        <w:t xml:space="preserve">O </w:t>
      </w:r>
      <w:r w:rsidRPr="00E830ED">
        <w:rPr>
          <w:rFonts w:ascii="Garamond" w:hAnsi="Garamond"/>
          <w:b/>
          <w:bCs/>
        </w:rPr>
        <w:t>Projeto de Lei nº 59/2026 (REFIS)</w:t>
      </w:r>
      <w:r w:rsidRPr="00E830ED">
        <w:rPr>
          <w:rFonts w:ascii="Garamond" w:hAnsi="Garamond"/>
        </w:rPr>
        <w:t xml:space="preserve"> versa sobre </w:t>
      </w:r>
      <w:r w:rsidRPr="00E830ED">
        <w:rPr>
          <w:rFonts w:ascii="Garamond" w:hAnsi="Garamond"/>
          <w:b/>
          <w:bCs/>
        </w:rPr>
        <w:t>matéria tributária</w:t>
      </w:r>
      <w:r w:rsidRPr="00E830ED">
        <w:rPr>
          <w:rFonts w:ascii="Garamond" w:hAnsi="Garamond"/>
        </w:rPr>
        <w:t xml:space="preserve"> (inciso III) e, ao conceder anistia de multas e juros, promove uma </w:t>
      </w:r>
      <w:r w:rsidRPr="00E830ED">
        <w:rPr>
          <w:rFonts w:ascii="Garamond" w:hAnsi="Garamond"/>
          <w:b/>
          <w:bCs/>
        </w:rPr>
        <w:t>renúncia de receita</w:t>
      </w:r>
      <w:r w:rsidRPr="00E830ED">
        <w:rPr>
          <w:rFonts w:ascii="Garamond" w:hAnsi="Garamond"/>
        </w:rPr>
        <w:t xml:space="preserve"> (inciso VI), matéria também de iniciativa exclusiva do Executivo.</w:t>
      </w:r>
    </w:p>
    <w:p w14:paraId="5E7F9FC4" w14:textId="77777777" w:rsid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</w:rPr>
        <w:t xml:space="preserve">Dessa forma, não se vislumbra qualquer </w:t>
      </w:r>
      <w:r w:rsidRPr="00E830ED">
        <w:rPr>
          <w:rFonts w:ascii="Garamond" w:hAnsi="Garamond"/>
          <w:b/>
          <w:bCs/>
        </w:rPr>
        <w:t>vício de iniciativa</w:t>
      </w:r>
      <w:r w:rsidRPr="00E830ED">
        <w:rPr>
          <w:rFonts w:ascii="Garamond" w:hAnsi="Garamond"/>
        </w:rPr>
        <w:t xml:space="preserve"> nas proposições, estando todas em conformidade com as regras de competência estabelecidas na Lei Orgânica.</w:t>
      </w:r>
    </w:p>
    <w:p w14:paraId="69C88959" w14:textId="77777777" w:rsidR="00E830ED" w:rsidRPr="00E830ED" w:rsidRDefault="00E830ED" w:rsidP="00E830ED">
      <w:pPr>
        <w:jc w:val="both"/>
        <w:rPr>
          <w:rFonts w:ascii="Garamond" w:hAnsi="Garamond"/>
        </w:rPr>
      </w:pPr>
    </w:p>
    <w:p w14:paraId="61210B07" w14:textId="77777777" w:rsidR="00E830ED" w:rsidRP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2. Da Análise Específica dos Projetos</w:t>
      </w:r>
    </w:p>
    <w:p w14:paraId="4BB0E9CD" w14:textId="77777777" w:rsidR="00E830ED" w:rsidRPr="00E830ED" w:rsidRDefault="00E830ED" w:rsidP="00E830ED">
      <w:pPr>
        <w:numPr>
          <w:ilvl w:val="0"/>
          <w:numId w:val="3"/>
        </w:num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PL nº 49/2026 e PL nº 50/2026:</w:t>
      </w:r>
      <w:r w:rsidRPr="00E830ED">
        <w:rPr>
          <w:rFonts w:ascii="Garamond" w:hAnsi="Garamond"/>
        </w:rPr>
        <w:t xml:space="preserve"> Ambos os projetos visam aprimorar a gestão e a participação social em conselhos de direitos, alinhando o município a diretrizes de políticas públicas mais amplas. São medidas que se coadunam com os princípios da administração pública, como a eficiência e a gestão democrática, não apresentando óbices constitucionais.</w:t>
      </w:r>
    </w:p>
    <w:p w14:paraId="5D064AA4" w14:textId="77777777" w:rsidR="00E830ED" w:rsidRPr="00E830ED" w:rsidRDefault="00E830ED" w:rsidP="00E830ED">
      <w:pPr>
        <w:numPr>
          <w:ilvl w:val="0"/>
          <w:numId w:val="3"/>
        </w:num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PL nº 59/2026 (REFIS):</w:t>
      </w:r>
      <w:r w:rsidRPr="00E830ED">
        <w:rPr>
          <w:rFonts w:ascii="Garamond" w:hAnsi="Garamond"/>
        </w:rPr>
        <w:t xml:space="preserve"> Este projeto, ao instituir um programa de recuperação fiscal, exerce uma competência municipal para legislar sobre matéria tributária. A concessão de anistia e remissão de débitos fiscais é um instrumento legítimo para estimular a arrecadação e regularizar a situação de contribuintes. A Lei Orgânica, em seu art. 31, III, e art. 58, §4º, prevê expressamente que a anistia ou remissão de dívidas tributárias deve ser feita por meio de lei específica, requisito que o presente projeto atende.</w:t>
      </w:r>
    </w:p>
    <w:p w14:paraId="556A685E" w14:textId="5B48B41C" w:rsidR="00E830ED" w:rsidRP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</w:rPr>
        <w:t xml:space="preserve">Ademais, a justificativa do PL 59/2026 aborda o cumprimento do art. 14 da Lei de Responsabilidade Fiscal (LRF), que trata da renúncia de receita. O projeto argumenta que não haverá impacto orçamentário negativo, </w:t>
      </w:r>
      <w:r w:rsidRPr="00E830ED">
        <w:rPr>
          <w:rFonts w:ascii="Garamond" w:hAnsi="Garamond"/>
        </w:rPr>
        <w:t>pois,</w:t>
      </w:r>
      <w:r w:rsidRPr="00E830ED">
        <w:rPr>
          <w:rFonts w:ascii="Garamond" w:hAnsi="Garamond"/>
        </w:rPr>
        <w:t xml:space="preserve"> as estimativas de receita já desconsideram os valores de juros e multas, focando apenas no principal da dívida. Essa análise, embora de mérito financeiro, demonstra a preocupação do proponente com a legalidade e a responsabilidade fiscal, o que reforça a admissibilidade do projeto nesta fase.</w:t>
      </w:r>
    </w:p>
    <w:p w14:paraId="6E32C27A" w14:textId="77777777" w:rsidR="00E830ED" w:rsidRP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  <w:b/>
          <w:bCs/>
        </w:rPr>
        <w:t>3. Conclusão da Análise</w:t>
      </w:r>
    </w:p>
    <w:p w14:paraId="2C5BA47A" w14:textId="77777777" w:rsidR="00E830ED" w:rsidRPr="00E830ED" w:rsidRDefault="00E830ED" w:rsidP="00E830ED">
      <w:pPr>
        <w:jc w:val="both"/>
        <w:rPr>
          <w:rFonts w:ascii="Garamond" w:hAnsi="Garamond"/>
        </w:rPr>
      </w:pPr>
      <w:r w:rsidRPr="00E830ED">
        <w:rPr>
          <w:rFonts w:ascii="Garamond" w:hAnsi="Garamond"/>
        </w:rPr>
        <w:t>Os três projetos de lei foram propostos pela autoridade competente, tratam de matérias de interesse local e de competência municipal, e observam os requisitos formais para sua tramitação. Não foram identificados vícios de inconstitucionalidade ou ilegalidade que impeçam o prosseguimento do processo legislativo.</w:t>
      </w:r>
    </w:p>
    <w:p w14:paraId="6C0BD07C" w14:textId="77777777" w:rsidR="00E830ED" w:rsidRDefault="00E830ED" w:rsidP="00E830ED">
      <w:pPr>
        <w:rPr>
          <w:rFonts w:ascii="Garamond" w:hAnsi="Garamond"/>
          <w:b/>
          <w:bCs/>
        </w:rPr>
      </w:pPr>
    </w:p>
    <w:p w14:paraId="335AED56" w14:textId="77777777" w:rsidR="00E830ED" w:rsidRDefault="00E830ED" w:rsidP="00E830ED">
      <w:pPr>
        <w:rPr>
          <w:rFonts w:ascii="Garamond" w:hAnsi="Garamond"/>
          <w:b/>
          <w:bCs/>
        </w:rPr>
      </w:pPr>
    </w:p>
    <w:p w14:paraId="07906673" w14:textId="77777777" w:rsidR="00E830ED" w:rsidRDefault="00E830ED" w:rsidP="00E830ED">
      <w:pPr>
        <w:rPr>
          <w:rFonts w:ascii="Garamond" w:hAnsi="Garamond"/>
          <w:b/>
          <w:bCs/>
        </w:rPr>
      </w:pPr>
    </w:p>
    <w:p w14:paraId="0B04C4F6" w14:textId="77777777" w:rsidR="00E830ED" w:rsidRPr="00246E54" w:rsidRDefault="00E830ED" w:rsidP="00E830ED">
      <w:pPr>
        <w:rPr>
          <w:rFonts w:ascii="Garamond" w:hAnsi="Garamond"/>
          <w:b/>
          <w:bCs/>
        </w:rPr>
      </w:pPr>
    </w:p>
    <w:p w14:paraId="1C4A0A34" w14:textId="77777777" w:rsidR="00E830ED" w:rsidRPr="00246E54" w:rsidRDefault="00E830ED" w:rsidP="00E830ED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III – </w:t>
      </w:r>
      <w:r>
        <w:rPr>
          <w:rFonts w:ascii="Garamond" w:hAnsi="Garamond"/>
          <w:b/>
          <w:bCs/>
        </w:rPr>
        <w:t>CONCLUSÃO</w:t>
      </w:r>
    </w:p>
    <w:p w14:paraId="5F7628C2" w14:textId="2BED0ADB" w:rsidR="00E830ED" w:rsidRPr="004E5370" w:rsidRDefault="00E830ED" w:rsidP="00E830ED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Diante do exposto, a </w:t>
      </w:r>
      <w:r w:rsidRPr="00246E54">
        <w:rPr>
          <w:rFonts w:ascii="Garamond" w:hAnsi="Garamond"/>
          <w:b/>
          <w:bCs/>
        </w:rPr>
        <w:t>Comissão de Constituição e Justiça</w:t>
      </w:r>
      <w:r w:rsidRPr="00246E54">
        <w:rPr>
          <w:rFonts w:ascii="Garamond" w:hAnsi="Garamond"/>
        </w:rPr>
        <w:t xml:space="preserve"> opina pela </w:t>
      </w:r>
      <w:r>
        <w:rPr>
          <w:rFonts w:ascii="Garamond" w:hAnsi="Garamond"/>
          <w:b/>
          <w:bCs/>
        </w:rPr>
        <w:t>CONSTITUCIONALIDADE e LEGALIDADE</w:t>
      </w:r>
      <w:r w:rsidRPr="00246E54">
        <w:rPr>
          <w:rFonts w:ascii="Garamond" w:hAnsi="Garamond"/>
        </w:rPr>
        <w:t xml:space="preserve"> </w:t>
      </w:r>
      <w:r w:rsidRPr="00E830ED">
        <w:rPr>
          <w:rFonts w:ascii="Garamond" w:hAnsi="Garamond"/>
        </w:rPr>
        <w:t>dos Projetos de Lei nº 49/2026, nº 50/2026 e nº 59/2026, de autoria do Poder Executivo, recomendando seu regular prosseguimento para apreciação das comissões de mérito e do Plenário.</w:t>
      </w:r>
    </w:p>
    <w:p w14:paraId="53067956" w14:textId="77777777" w:rsidR="00E830ED" w:rsidRPr="00246E54" w:rsidRDefault="00E830ED" w:rsidP="00E830ED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Sala das Sessões, </w:t>
      </w:r>
      <w:r>
        <w:rPr>
          <w:rFonts w:ascii="Garamond" w:hAnsi="Garamond"/>
        </w:rPr>
        <w:t xml:space="preserve">17 </w:t>
      </w:r>
      <w:r w:rsidRPr="00246E54">
        <w:rPr>
          <w:rFonts w:ascii="Garamond" w:hAnsi="Garamond"/>
        </w:rPr>
        <w:t xml:space="preserve">de </w:t>
      </w:r>
      <w:r>
        <w:rPr>
          <w:rFonts w:ascii="Garamond" w:hAnsi="Garamond"/>
        </w:rPr>
        <w:t>março</w:t>
      </w:r>
      <w:r w:rsidRPr="00246E54">
        <w:rPr>
          <w:rFonts w:ascii="Garamond" w:hAnsi="Garamond"/>
        </w:rPr>
        <w:t xml:space="preserve"> de 202</w:t>
      </w:r>
      <w:r>
        <w:rPr>
          <w:rFonts w:ascii="Garamond" w:hAnsi="Garamond"/>
        </w:rPr>
        <w:t>6</w:t>
      </w:r>
      <w:r w:rsidRPr="00246E54">
        <w:rPr>
          <w:rFonts w:ascii="Garamond" w:hAnsi="Garamond"/>
        </w:rPr>
        <w:t>.</w:t>
      </w:r>
    </w:p>
    <w:p w14:paraId="3A69B06F" w14:textId="77777777" w:rsidR="00E830ED" w:rsidRPr="00246E54" w:rsidRDefault="00E830ED" w:rsidP="00E830ED">
      <w:pPr>
        <w:pStyle w:val="SemEspaamento"/>
        <w:jc w:val="center"/>
        <w:rPr>
          <w:rFonts w:ascii="Garamond" w:hAnsi="Garamond"/>
        </w:rPr>
      </w:pPr>
    </w:p>
    <w:p w14:paraId="03A26426" w14:textId="77777777" w:rsidR="00E830ED" w:rsidRPr="00246E54" w:rsidRDefault="00E830ED" w:rsidP="00E830ED">
      <w:pPr>
        <w:pStyle w:val="SemEspaamento"/>
        <w:jc w:val="center"/>
        <w:rPr>
          <w:rFonts w:ascii="Garamond" w:hAnsi="Garamond"/>
        </w:rPr>
      </w:pPr>
    </w:p>
    <w:p w14:paraId="07E8C6C5" w14:textId="77777777" w:rsidR="00E830ED" w:rsidRPr="00246E54" w:rsidRDefault="00E830ED" w:rsidP="00E830ED">
      <w:pPr>
        <w:pStyle w:val="SemEspaamento"/>
        <w:jc w:val="center"/>
        <w:rPr>
          <w:rFonts w:ascii="Garamond" w:hAnsi="Garamond"/>
        </w:rPr>
      </w:pPr>
    </w:p>
    <w:p w14:paraId="081E398E" w14:textId="77777777" w:rsidR="00E830ED" w:rsidRPr="00246E54" w:rsidRDefault="00E830ED" w:rsidP="00E830ED">
      <w:pPr>
        <w:pStyle w:val="SemEspaamento"/>
        <w:jc w:val="center"/>
        <w:rPr>
          <w:rFonts w:ascii="Garamond" w:hAnsi="Garamond"/>
        </w:rPr>
      </w:pPr>
    </w:p>
    <w:p w14:paraId="0A92A2BA" w14:textId="77777777" w:rsidR="00E830ED" w:rsidRPr="00246E54" w:rsidRDefault="00E830ED" w:rsidP="00E830ED">
      <w:pPr>
        <w:pStyle w:val="SemEspaamento"/>
        <w:jc w:val="center"/>
        <w:rPr>
          <w:rFonts w:ascii="Garamond" w:hAnsi="Garamond"/>
          <w:b/>
          <w:bCs/>
        </w:rPr>
      </w:pPr>
      <w:proofErr w:type="spellStart"/>
      <w:r w:rsidRPr="00246E54">
        <w:rPr>
          <w:rFonts w:ascii="Garamond" w:hAnsi="Garamond"/>
        </w:rPr>
        <w:t>Jailson</w:t>
      </w:r>
      <w:proofErr w:type="spellEnd"/>
      <w:r w:rsidRPr="00246E54">
        <w:rPr>
          <w:rFonts w:ascii="Garamond" w:hAnsi="Garamond"/>
        </w:rPr>
        <w:t xml:space="preserve"> Pereira Dos Santos </w:t>
      </w:r>
    </w:p>
    <w:p w14:paraId="36797E81" w14:textId="77777777" w:rsidR="00E830ED" w:rsidRPr="00246E54" w:rsidRDefault="00E830ED" w:rsidP="00E830ED">
      <w:pPr>
        <w:pStyle w:val="SemEspaamento"/>
        <w:jc w:val="center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Presidente </w:t>
      </w:r>
    </w:p>
    <w:p w14:paraId="6DF6F8E5" w14:textId="77777777" w:rsidR="00E830ED" w:rsidRPr="00246E54" w:rsidRDefault="00E830ED" w:rsidP="00E830ED">
      <w:pPr>
        <w:pStyle w:val="SemEspaamento"/>
        <w:rPr>
          <w:rFonts w:ascii="Garamond" w:hAnsi="Garamond"/>
        </w:rPr>
      </w:pPr>
    </w:p>
    <w:p w14:paraId="36B767D2" w14:textId="77777777" w:rsidR="00E830ED" w:rsidRPr="00246E54" w:rsidRDefault="00E830ED" w:rsidP="00E830ED">
      <w:pPr>
        <w:pStyle w:val="SemEspaamento"/>
        <w:rPr>
          <w:rFonts w:ascii="Garamond" w:hAnsi="Garamond"/>
        </w:rPr>
      </w:pPr>
    </w:p>
    <w:p w14:paraId="3516BC3B" w14:textId="77777777" w:rsidR="00E830ED" w:rsidRPr="00246E54" w:rsidRDefault="00E830ED" w:rsidP="00E830ED">
      <w:pPr>
        <w:pStyle w:val="SemEspaamento"/>
        <w:rPr>
          <w:rFonts w:ascii="Garamond" w:hAnsi="Garamond"/>
        </w:rPr>
      </w:pPr>
      <w:r w:rsidRPr="00246E54">
        <w:rPr>
          <w:rFonts w:ascii="Garamond" w:hAnsi="Garamond"/>
        </w:rPr>
        <w:t xml:space="preserve">Ramon Silva Menezes                                                              </w:t>
      </w:r>
      <w:r>
        <w:rPr>
          <w:rFonts w:ascii="Garamond" w:hAnsi="Garamond"/>
        </w:rPr>
        <w:t xml:space="preserve">   </w:t>
      </w:r>
      <w:proofErr w:type="spellStart"/>
      <w:r w:rsidRPr="00246E54">
        <w:rPr>
          <w:rFonts w:ascii="Garamond" w:hAnsi="Garamond"/>
        </w:rPr>
        <w:t>Gilvando</w:t>
      </w:r>
      <w:proofErr w:type="spellEnd"/>
      <w:r w:rsidRPr="00246E54">
        <w:rPr>
          <w:rFonts w:ascii="Garamond" w:hAnsi="Garamond"/>
        </w:rPr>
        <w:t xml:space="preserve"> Marinho da Silva </w:t>
      </w:r>
    </w:p>
    <w:p w14:paraId="443FEE36" w14:textId="77777777" w:rsidR="00E830ED" w:rsidRPr="00246E54" w:rsidRDefault="00E830ED" w:rsidP="00E830ED">
      <w:pPr>
        <w:pStyle w:val="SemEspaamento"/>
      </w:pPr>
      <w:r w:rsidRPr="00246E54">
        <w:rPr>
          <w:rFonts w:ascii="Garamond" w:hAnsi="Garamond"/>
          <w:b/>
          <w:bCs/>
        </w:rPr>
        <w:t xml:space="preserve">   Membro CCJ                                                                                     Membro CCJ</w:t>
      </w:r>
    </w:p>
    <w:p w14:paraId="63A27218" w14:textId="77777777" w:rsidR="00E830ED" w:rsidRDefault="00E830ED" w:rsidP="00E830ED"/>
    <w:p w14:paraId="3928FC5A" w14:textId="77777777" w:rsidR="00F019F8" w:rsidRDefault="00F019F8"/>
    <w:sectPr w:rsidR="00F019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6D4F8" w14:textId="77777777" w:rsidR="00E830ED" w:rsidRDefault="00E830ED" w:rsidP="00E830ED">
      <w:pPr>
        <w:spacing w:after="0" w:line="240" w:lineRule="auto"/>
      </w:pPr>
      <w:r>
        <w:separator/>
      </w:r>
    </w:p>
  </w:endnote>
  <w:endnote w:type="continuationSeparator" w:id="0">
    <w:p w14:paraId="7F8FDF49" w14:textId="77777777" w:rsidR="00E830ED" w:rsidRDefault="00E830ED" w:rsidP="00E83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451EF" w14:textId="77777777" w:rsidR="00E830ED" w:rsidRDefault="00E830ED" w:rsidP="00E830ED">
      <w:pPr>
        <w:spacing w:after="0" w:line="240" w:lineRule="auto"/>
      </w:pPr>
      <w:r>
        <w:separator/>
      </w:r>
    </w:p>
  </w:footnote>
  <w:footnote w:type="continuationSeparator" w:id="0">
    <w:p w14:paraId="24BDC864" w14:textId="77777777" w:rsidR="00E830ED" w:rsidRDefault="00E830ED" w:rsidP="00E83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37B63" w14:textId="49ADE4B9" w:rsidR="00E830ED" w:rsidRDefault="00E830ED">
    <w:pPr>
      <w:pStyle w:val="Cabealho"/>
    </w:pPr>
    <w:r w:rsidRPr="004A367B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2F2C73EF" wp14:editId="73491150">
          <wp:simplePos x="0" y="0"/>
          <wp:positionH relativeFrom="page">
            <wp:align>right</wp:align>
          </wp:positionH>
          <wp:positionV relativeFrom="paragraph">
            <wp:posOffset>-457835</wp:posOffset>
          </wp:positionV>
          <wp:extent cx="7559675" cy="10687050"/>
          <wp:effectExtent l="0" t="0" r="3175" b="0"/>
          <wp:wrapNone/>
          <wp:docPr id="178394652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87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4EE4"/>
    <w:multiLevelType w:val="multilevel"/>
    <w:tmpl w:val="89D08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66D6D"/>
    <w:multiLevelType w:val="multilevel"/>
    <w:tmpl w:val="7208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650CA5"/>
    <w:multiLevelType w:val="multilevel"/>
    <w:tmpl w:val="8492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0593767">
    <w:abstractNumId w:val="0"/>
  </w:num>
  <w:num w:numId="2" w16cid:durableId="553321982">
    <w:abstractNumId w:val="2"/>
  </w:num>
  <w:num w:numId="3" w16cid:durableId="1063286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0ED"/>
    <w:rsid w:val="006F2354"/>
    <w:rsid w:val="00D9320E"/>
    <w:rsid w:val="00E830ED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DEC4"/>
  <w15:chartTrackingRefBased/>
  <w15:docId w15:val="{A978D420-349B-468B-A565-5FD4B2FC5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0ED"/>
  </w:style>
  <w:style w:type="paragraph" w:styleId="Ttulo1">
    <w:name w:val="heading 1"/>
    <w:basedOn w:val="Normal"/>
    <w:next w:val="Normal"/>
    <w:link w:val="Ttulo1Char"/>
    <w:uiPriority w:val="9"/>
    <w:qFormat/>
    <w:rsid w:val="00E830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3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30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30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30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30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30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30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30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30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30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30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30E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30E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830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30E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30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30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830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830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30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830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830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830E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830E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830E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30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830E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830ED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E830ED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E830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30ED"/>
  </w:style>
  <w:style w:type="paragraph" w:styleId="Rodap">
    <w:name w:val="footer"/>
    <w:basedOn w:val="Normal"/>
    <w:link w:val="RodapChar"/>
    <w:uiPriority w:val="99"/>
    <w:unhideWhenUsed/>
    <w:rsid w:val="00E830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3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03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67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854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Weslley Saraiva</cp:lastModifiedBy>
  <cp:revision>1</cp:revision>
  <dcterms:created xsi:type="dcterms:W3CDTF">2026-03-17T13:33:00Z</dcterms:created>
  <dcterms:modified xsi:type="dcterms:W3CDTF">2026-03-17T13:38:00Z</dcterms:modified>
</cp:coreProperties>
</file>