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5348" w14:textId="77777777" w:rsidR="00F952B5" w:rsidRPr="00F952B5" w:rsidRDefault="00F952B5" w:rsidP="00F952B5">
      <w:pPr>
        <w:rPr>
          <w:b/>
          <w:bCs/>
        </w:rPr>
      </w:pPr>
      <w:r w:rsidRPr="00F952B5">
        <w:rPr>
          <w:b/>
          <w:bCs/>
        </w:rPr>
        <w:t>PARECER DA COMISSÃO DE FINANÇAS E ORÇAMENTO</w:t>
      </w:r>
    </w:p>
    <w:p w14:paraId="61E9EAEA" w14:textId="2853DD01" w:rsidR="00F952B5" w:rsidRPr="00F952B5" w:rsidRDefault="00F952B5" w:rsidP="00F952B5">
      <w:r w:rsidRPr="00F952B5">
        <w:rPr>
          <w:b/>
          <w:bCs/>
        </w:rPr>
        <w:t xml:space="preserve">Parecer nº </w:t>
      </w:r>
      <w:r>
        <w:rPr>
          <w:b/>
          <w:bCs/>
        </w:rPr>
        <w:t>73</w:t>
      </w:r>
      <w:r w:rsidRPr="00F952B5">
        <w:rPr>
          <w:b/>
          <w:bCs/>
        </w:rPr>
        <w:t>/2025</w:t>
      </w:r>
      <w:r w:rsidRPr="00F952B5">
        <w:br/>
      </w:r>
      <w:r w:rsidRPr="00F952B5">
        <w:rPr>
          <w:b/>
          <w:bCs/>
        </w:rPr>
        <w:t>Projeto de Lei nº 098/2025</w:t>
      </w:r>
    </w:p>
    <w:p w14:paraId="65E5F34A" w14:textId="77777777" w:rsidR="00F952B5" w:rsidRPr="00F952B5" w:rsidRDefault="00F952B5" w:rsidP="00F952B5">
      <w:pPr>
        <w:jc w:val="both"/>
        <w:rPr>
          <w:b/>
          <w:bCs/>
        </w:rPr>
      </w:pPr>
      <w:r w:rsidRPr="00F952B5">
        <w:rPr>
          <w:b/>
          <w:bCs/>
        </w:rPr>
        <w:t>Ementa</w:t>
      </w:r>
    </w:p>
    <w:p w14:paraId="41B34762" w14:textId="77777777" w:rsidR="00F952B5" w:rsidRPr="00F952B5" w:rsidRDefault="00F952B5" w:rsidP="00F952B5">
      <w:pPr>
        <w:jc w:val="both"/>
      </w:pPr>
      <w:r w:rsidRPr="00F952B5">
        <w:t xml:space="preserve">Parecer </w:t>
      </w:r>
      <w:r w:rsidRPr="00F952B5">
        <w:rPr>
          <w:b/>
          <w:bCs/>
        </w:rPr>
        <w:t>favorável</w:t>
      </w:r>
      <w:r w:rsidRPr="00F952B5">
        <w:t xml:space="preserve"> quanto à </w:t>
      </w:r>
      <w:r w:rsidRPr="00F952B5">
        <w:rPr>
          <w:b/>
          <w:bCs/>
        </w:rPr>
        <w:t>adequação orçamentária e financeira</w:t>
      </w:r>
      <w:r w:rsidRPr="00F952B5">
        <w:t xml:space="preserve"> do Projeto de Lei nº 098/2025, que homologa a desapropriação amigável do imóvel matrícula nº 10.906 (143.850,00 m²), de propriedade de </w:t>
      </w:r>
      <w:r w:rsidRPr="00F952B5">
        <w:rPr>
          <w:b/>
          <w:bCs/>
        </w:rPr>
        <w:t>José Carlos Cogo</w:t>
      </w:r>
      <w:r w:rsidRPr="00F952B5">
        <w:t xml:space="preserve"> e </w:t>
      </w:r>
      <w:r w:rsidRPr="00F952B5">
        <w:rPr>
          <w:b/>
          <w:bCs/>
        </w:rPr>
        <w:t>Silvana Tomazoni Cogo</w:t>
      </w:r>
      <w:r w:rsidRPr="00F952B5">
        <w:t xml:space="preserve">, declarado de utilidade pública pelo </w:t>
      </w:r>
      <w:r w:rsidRPr="00F952B5">
        <w:rPr>
          <w:b/>
          <w:bCs/>
        </w:rPr>
        <w:t>Decreto Municipal nº 4256/2025</w:t>
      </w:r>
      <w:r w:rsidRPr="00F952B5">
        <w:t xml:space="preserve">, para implantação de </w:t>
      </w:r>
      <w:r w:rsidRPr="00F952B5">
        <w:rPr>
          <w:b/>
          <w:bCs/>
        </w:rPr>
        <w:t>Distrito Industrial</w:t>
      </w:r>
      <w:r w:rsidRPr="00F952B5">
        <w:t xml:space="preserve">, pelo valor indenizatório de </w:t>
      </w:r>
      <w:r w:rsidRPr="00F952B5">
        <w:rPr>
          <w:b/>
          <w:bCs/>
        </w:rPr>
        <w:t>R$ 5.754.000,00</w:t>
      </w:r>
      <w:r w:rsidRPr="00F952B5">
        <w:t xml:space="preserve">, com despesas à conta de </w:t>
      </w:r>
      <w:r w:rsidRPr="00F952B5">
        <w:rPr>
          <w:b/>
          <w:bCs/>
        </w:rPr>
        <w:t>dotação orçamentária própria</w:t>
      </w:r>
      <w:r w:rsidRPr="00F952B5">
        <w:t>, suplementável se necessário.</w:t>
      </w:r>
    </w:p>
    <w:p w14:paraId="15C64ADA" w14:textId="67183AAA" w:rsidR="00F952B5" w:rsidRPr="00F952B5" w:rsidRDefault="00F952B5" w:rsidP="00F952B5"/>
    <w:p w14:paraId="73325546" w14:textId="77777777" w:rsidR="00F952B5" w:rsidRPr="00F952B5" w:rsidRDefault="00F952B5" w:rsidP="00F952B5">
      <w:pPr>
        <w:jc w:val="both"/>
        <w:rPr>
          <w:b/>
          <w:bCs/>
        </w:rPr>
      </w:pPr>
      <w:r w:rsidRPr="00F952B5">
        <w:rPr>
          <w:b/>
          <w:bCs/>
        </w:rPr>
        <w:t>Relatório</w:t>
      </w:r>
    </w:p>
    <w:p w14:paraId="6CFE5497" w14:textId="77777777" w:rsidR="00F952B5" w:rsidRPr="00F952B5" w:rsidRDefault="00F952B5" w:rsidP="00F952B5">
      <w:pPr>
        <w:jc w:val="both"/>
      </w:pPr>
      <w:r w:rsidRPr="00F952B5">
        <w:t xml:space="preserve">O Projeto de Lei nº 098/2025, de iniciativa do Poder Executivo, busca </w:t>
      </w:r>
      <w:r w:rsidRPr="00F952B5">
        <w:rPr>
          <w:b/>
          <w:bCs/>
        </w:rPr>
        <w:t>homologar</w:t>
      </w:r>
      <w:r w:rsidRPr="00F952B5">
        <w:t xml:space="preserve"> a desapropriação amigável do imóvel rural (Rural Lote nº 86, matrícula nº 10.906) situado na Linha Aurora, com área de </w:t>
      </w:r>
      <w:r w:rsidRPr="00F952B5">
        <w:rPr>
          <w:b/>
          <w:bCs/>
        </w:rPr>
        <w:t>143.850,00 m²</w:t>
      </w:r>
      <w:r w:rsidRPr="00F952B5">
        <w:t xml:space="preserve">, declarado de </w:t>
      </w:r>
      <w:r w:rsidRPr="00F952B5">
        <w:rPr>
          <w:b/>
          <w:bCs/>
        </w:rPr>
        <w:t>utilidade pública</w:t>
      </w:r>
      <w:r w:rsidRPr="00F952B5">
        <w:t xml:space="preserve"> pelo Decreto nº 4256/2025 (01/08/2025), visando à implantação de </w:t>
      </w:r>
      <w:r w:rsidRPr="00F952B5">
        <w:rPr>
          <w:b/>
          <w:bCs/>
        </w:rPr>
        <w:t>Distrito Industrial</w:t>
      </w:r>
      <w:r w:rsidRPr="00F952B5">
        <w:t xml:space="preserve">. O valor da indenização, fixado com base em </w:t>
      </w:r>
      <w:r w:rsidRPr="00F952B5">
        <w:rPr>
          <w:b/>
          <w:bCs/>
        </w:rPr>
        <w:t>Laudo de Avaliação</w:t>
      </w:r>
      <w:r w:rsidRPr="00F952B5">
        <w:t xml:space="preserve"> elaborado por Comissão Municipal e corretores habilitados, é de </w:t>
      </w:r>
      <w:r w:rsidRPr="00F952B5">
        <w:rPr>
          <w:b/>
          <w:bCs/>
        </w:rPr>
        <w:t>R$ 5.754.000,00</w:t>
      </w:r>
      <w:r w:rsidRPr="00F952B5">
        <w:t xml:space="preserve">. O procedimento foi formalizado </w:t>
      </w:r>
      <w:proofErr w:type="spellStart"/>
      <w:r w:rsidRPr="00F952B5">
        <w:t>por</w:t>
      </w:r>
      <w:proofErr w:type="spellEnd"/>
      <w:r w:rsidRPr="00F952B5">
        <w:t xml:space="preserve"> </w:t>
      </w:r>
      <w:r w:rsidRPr="00F952B5">
        <w:rPr>
          <w:b/>
          <w:bCs/>
        </w:rPr>
        <w:t>Termo de Concordância</w:t>
      </w:r>
      <w:r w:rsidRPr="00F952B5">
        <w:t xml:space="preserve"> em </w:t>
      </w:r>
      <w:r w:rsidRPr="00F952B5">
        <w:rPr>
          <w:b/>
          <w:bCs/>
        </w:rPr>
        <w:t>11/08/2025</w:t>
      </w:r>
      <w:r w:rsidRPr="00F952B5">
        <w:t xml:space="preserve">. O </w:t>
      </w:r>
      <w:r w:rsidRPr="00F952B5">
        <w:rPr>
          <w:b/>
          <w:bCs/>
        </w:rPr>
        <w:t>art. 3º</w:t>
      </w:r>
      <w:r w:rsidRPr="00F952B5">
        <w:t xml:space="preserve"> do PL estabelece que as despesas </w:t>
      </w:r>
      <w:r w:rsidRPr="00F952B5">
        <w:rPr>
          <w:b/>
          <w:bCs/>
        </w:rPr>
        <w:t>correrão por conta de dotação orçamentária própria, suplementadas se necessário</w:t>
      </w:r>
      <w:r w:rsidRPr="00F952B5">
        <w:t>.</w:t>
      </w:r>
    </w:p>
    <w:p w14:paraId="74000FED" w14:textId="61B4907F" w:rsidR="00F952B5" w:rsidRPr="00F952B5" w:rsidRDefault="00F952B5" w:rsidP="00F952B5"/>
    <w:p w14:paraId="416FE6AB" w14:textId="77777777" w:rsidR="00F952B5" w:rsidRPr="00F952B5" w:rsidRDefault="00F952B5" w:rsidP="00F952B5">
      <w:pPr>
        <w:rPr>
          <w:b/>
          <w:bCs/>
        </w:rPr>
      </w:pPr>
      <w:r w:rsidRPr="00F952B5">
        <w:rPr>
          <w:b/>
          <w:bCs/>
        </w:rPr>
        <w:t>Análise Orçamentária e Financeira</w:t>
      </w:r>
    </w:p>
    <w:p w14:paraId="7CF0F36D" w14:textId="77777777" w:rsidR="00F952B5" w:rsidRPr="00F952B5" w:rsidRDefault="00F952B5" w:rsidP="00F952B5">
      <w:pPr>
        <w:numPr>
          <w:ilvl w:val="0"/>
          <w:numId w:val="1"/>
        </w:numPr>
      </w:pPr>
      <w:r w:rsidRPr="00F952B5">
        <w:rPr>
          <w:b/>
          <w:bCs/>
        </w:rPr>
        <w:t>Compatibilidade com PPA/LDO/LOA</w:t>
      </w:r>
    </w:p>
    <w:p w14:paraId="42B79D79" w14:textId="77777777" w:rsidR="00F952B5" w:rsidRPr="00F952B5" w:rsidRDefault="00F952B5" w:rsidP="00F952B5">
      <w:pPr>
        <w:numPr>
          <w:ilvl w:val="1"/>
          <w:numId w:val="1"/>
        </w:numPr>
        <w:jc w:val="both"/>
      </w:pPr>
      <w:r w:rsidRPr="00F952B5">
        <w:t xml:space="preserve">A matéria se enquadra nas ações de </w:t>
      </w:r>
      <w:r w:rsidRPr="00F952B5">
        <w:rPr>
          <w:b/>
          <w:bCs/>
        </w:rPr>
        <w:t>expansão da infraestrutura econômica</w:t>
      </w:r>
      <w:r w:rsidRPr="00F952B5">
        <w:t xml:space="preserve"> e de </w:t>
      </w:r>
      <w:r w:rsidRPr="00F952B5">
        <w:rPr>
          <w:b/>
          <w:bCs/>
        </w:rPr>
        <w:t>fomento ao desenvolvimento</w:t>
      </w:r>
      <w:r w:rsidRPr="00F952B5">
        <w:t xml:space="preserve"> municipal, típicas de programas de desenvolvimento industrial.</w:t>
      </w:r>
    </w:p>
    <w:p w14:paraId="192114FC" w14:textId="77777777" w:rsidR="00F952B5" w:rsidRPr="00F952B5" w:rsidRDefault="00F952B5" w:rsidP="00F952B5">
      <w:pPr>
        <w:numPr>
          <w:ilvl w:val="1"/>
          <w:numId w:val="1"/>
        </w:numPr>
        <w:jc w:val="both"/>
      </w:pPr>
      <w:r w:rsidRPr="00F952B5">
        <w:t xml:space="preserve">O </w:t>
      </w:r>
      <w:r w:rsidRPr="00F952B5">
        <w:rPr>
          <w:b/>
          <w:bCs/>
        </w:rPr>
        <w:t>art. 3º</w:t>
      </w:r>
      <w:r w:rsidRPr="00F952B5">
        <w:t xml:space="preserve"> do PL indica </w:t>
      </w:r>
      <w:r w:rsidRPr="00F952B5">
        <w:rPr>
          <w:b/>
          <w:bCs/>
        </w:rPr>
        <w:t>previsão orçamentária</w:t>
      </w:r>
      <w:r w:rsidRPr="00F952B5">
        <w:t xml:space="preserve"> e a possibilidade de </w:t>
      </w:r>
      <w:r w:rsidRPr="00F952B5">
        <w:rPr>
          <w:b/>
          <w:bCs/>
        </w:rPr>
        <w:t>suplementação</w:t>
      </w:r>
      <w:r w:rsidRPr="00F952B5">
        <w:t xml:space="preserve">, demonstrando compatibilidade formal com a </w:t>
      </w:r>
      <w:r w:rsidRPr="00F952B5">
        <w:rPr>
          <w:b/>
          <w:bCs/>
        </w:rPr>
        <w:t>LOA</w:t>
      </w:r>
      <w:r w:rsidRPr="00F952B5">
        <w:t xml:space="preserve"> vigente, sem prejuízo da devida indicação de </w:t>
      </w:r>
      <w:r w:rsidRPr="00F952B5">
        <w:rPr>
          <w:b/>
          <w:bCs/>
        </w:rPr>
        <w:t>fonte de recursos</w:t>
      </w:r>
      <w:r w:rsidRPr="00F952B5">
        <w:t xml:space="preserve"> quando da execução.</w:t>
      </w:r>
    </w:p>
    <w:p w14:paraId="252EBBD9" w14:textId="77777777" w:rsidR="00F952B5" w:rsidRPr="00F952B5" w:rsidRDefault="00F952B5" w:rsidP="00F952B5">
      <w:pPr>
        <w:numPr>
          <w:ilvl w:val="0"/>
          <w:numId w:val="1"/>
        </w:numPr>
      </w:pPr>
      <w:r w:rsidRPr="00F952B5">
        <w:rPr>
          <w:b/>
          <w:bCs/>
        </w:rPr>
        <w:lastRenderedPageBreak/>
        <w:t xml:space="preserve">Adequação Financeira (LRF, </w:t>
      </w:r>
      <w:proofErr w:type="spellStart"/>
      <w:r w:rsidRPr="00F952B5">
        <w:rPr>
          <w:b/>
          <w:bCs/>
        </w:rPr>
        <w:t>arts</w:t>
      </w:r>
      <w:proofErr w:type="spellEnd"/>
      <w:r w:rsidRPr="00F952B5">
        <w:rPr>
          <w:b/>
          <w:bCs/>
        </w:rPr>
        <w:t>. 15, 16 e 17)</w:t>
      </w:r>
    </w:p>
    <w:p w14:paraId="0CE9456F" w14:textId="77777777" w:rsidR="00F952B5" w:rsidRPr="00F952B5" w:rsidRDefault="00F952B5" w:rsidP="00F952B5">
      <w:pPr>
        <w:numPr>
          <w:ilvl w:val="1"/>
          <w:numId w:val="1"/>
        </w:numPr>
        <w:jc w:val="both"/>
      </w:pPr>
      <w:r w:rsidRPr="00F952B5">
        <w:t xml:space="preserve">A despesa é </w:t>
      </w:r>
      <w:r w:rsidRPr="00F952B5">
        <w:rPr>
          <w:b/>
          <w:bCs/>
        </w:rPr>
        <w:t>não continuada</w:t>
      </w:r>
      <w:r w:rsidRPr="00F952B5">
        <w:t xml:space="preserve"> (indenização expropriatória) e exige comprovação de </w:t>
      </w:r>
      <w:r w:rsidRPr="00F952B5">
        <w:rPr>
          <w:b/>
          <w:bCs/>
        </w:rPr>
        <w:t>estimativa de impacto</w:t>
      </w:r>
      <w:r w:rsidRPr="00F952B5">
        <w:t xml:space="preserve"> e </w:t>
      </w:r>
      <w:r w:rsidRPr="00F952B5">
        <w:rPr>
          <w:b/>
          <w:bCs/>
        </w:rPr>
        <w:t>declaração do ordenador</w:t>
      </w:r>
      <w:r w:rsidRPr="00F952B5">
        <w:t xml:space="preserve"> quanto à sua compatibilidade com a LOA, a serem apresentadas na fase executória.</w:t>
      </w:r>
    </w:p>
    <w:p w14:paraId="6C195F61" w14:textId="77777777" w:rsidR="00F952B5" w:rsidRPr="00F952B5" w:rsidRDefault="00F952B5" w:rsidP="00F952B5">
      <w:pPr>
        <w:numPr>
          <w:ilvl w:val="1"/>
          <w:numId w:val="1"/>
        </w:numPr>
        <w:jc w:val="both"/>
      </w:pPr>
      <w:r w:rsidRPr="00F952B5">
        <w:t xml:space="preserve">Recomenda-se anexar, na liquidação, a memória de cálculo do </w:t>
      </w:r>
      <w:r w:rsidRPr="00F952B5">
        <w:rPr>
          <w:b/>
          <w:bCs/>
        </w:rPr>
        <w:t>Laudo de Avaliação</w:t>
      </w:r>
      <w:r w:rsidRPr="00F952B5">
        <w:t xml:space="preserve"> e a </w:t>
      </w:r>
      <w:r w:rsidRPr="00F952B5">
        <w:rPr>
          <w:b/>
          <w:bCs/>
        </w:rPr>
        <w:t>demonstração de disponibilidade financeira</w:t>
      </w:r>
      <w:r w:rsidRPr="00F952B5">
        <w:t xml:space="preserve"> (art. 16, §1º, LRF), sobretudo se houver parcelamento.</w:t>
      </w:r>
    </w:p>
    <w:p w14:paraId="246D04F3" w14:textId="77777777" w:rsidR="00F952B5" w:rsidRPr="00F952B5" w:rsidRDefault="00F952B5" w:rsidP="00F952B5">
      <w:pPr>
        <w:numPr>
          <w:ilvl w:val="0"/>
          <w:numId w:val="1"/>
        </w:numPr>
      </w:pPr>
      <w:r w:rsidRPr="00F952B5">
        <w:rPr>
          <w:b/>
          <w:bCs/>
        </w:rPr>
        <w:t>Natureza da Despesa e Cronograma de Desembolso</w:t>
      </w:r>
    </w:p>
    <w:p w14:paraId="0563A9BC" w14:textId="77777777" w:rsidR="00F952B5" w:rsidRPr="00F952B5" w:rsidRDefault="00F952B5" w:rsidP="00F952B5">
      <w:pPr>
        <w:numPr>
          <w:ilvl w:val="1"/>
          <w:numId w:val="1"/>
        </w:numPr>
        <w:jc w:val="both"/>
      </w:pPr>
      <w:r w:rsidRPr="00F952B5">
        <w:t xml:space="preserve">Trata-se de </w:t>
      </w:r>
      <w:r w:rsidRPr="00F952B5">
        <w:rPr>
          <w:b/>
          <w:bCs/>
        </w:rPr>
        <w:t>aquisição de ativo não financeiro</w:t>
      </w:r>
      <w:r w:rsidRPr="00F952B5">
        <w:t xml:space="preserve"> (indenização por desapropriação).</w:t>
      </w:r>
    </w:p>
    <w:p w14:paraId="5B734166" w14:textId="77777777" w:rsidR="00F952B5" w:rsidRPr="00F952B5" w:rsidRDefault="00F952B5" w:rsidP="00F952B5">
      <w:pPr>
        <w:numPr>
          <w:ilvl w:val="1"/>
          <w:numId w:val="1"/>
        </w:numPr>
        <w:jc w:val="both"/>
      </w:pPr>
      <w:r w:rsidRPr="00F952B5">
        <w:t xml:space="preserve">Recomenda-se definir, no ato de execução, o </w:t>
      </w:r>
      <w:r w:rsidRPr="00F952B5">
        <w:rPr>
          <w:b/>
          <w:bCs/>
        </w:rPr>
        <w:t>cronograma de desembolso</w:t>
      </w:r>
      <w:r w:rsidRPr="00F952B5">
        <w:t xml:space="preserve"> (à vista ou parcelado), observando a </w:t>
      </w:r>
      <w:r w:rsidRPr="00F952B5">
        <w:rPr>
          <w:b/>
          <w:bCs/>
        </w:rPr>
        <w:t>programação financeira</w:t>
      </w:r>
      <w:r w:rsidRPr="00F952B5">
        <w:t xml:space="preserve"> e o </w:t>
      </w:r>
      <w:r w:rsidRPr="00F952B5">
        <w:rPr>
          <w:b/>
          <w:bCs/>
        </w:rPr>
        <w:t>cronograma de execução mensal de desembolso</w:t>
      </w:r>
      <w:r w:rsidRPr="00F952B5">
        <w:t xml:space="preserve"> (LRF, art. 8º).</w:t>
      </w:r>
    </w:p>
    <w:p w14:paraId="6FA0D76B" w14:textId="77777777" w:rsidR="00F952B5" w:rsidRPr="00F952B5" w:rsidRDefault="00F952B5" w:rsidP="00F952B5">
      <w:pPr>
        <w:numPr>
          <w:ilvl w:val="0"/>
          <w:numId w:val="1"/>
        </w:numPr>
      </w:pPr>
      <w:r w:rsidRPr="00F952B5">
        <w:rPr>
          <w:b/>
          <w:bCs/>
        </w:rPr>
        <w:t>Suplementações Orçamentárias</w:t>
      </w:r>
    </w:p>
    <w:p w14:paraId="08751D42" w14:textId="77777777" w:rsidR="00F952B5" w:rsidRPr="00F952B5" w:rsidRDefault="00F952B5" w:rsidP="00F952B5">
      <w:pPr>
        <w:numPr>
          <w:ilvl w:val="1"/>
          <w:numId w:val="1"/>
        </w:numPr>
        <w:jc w:val="both"/>
      </w:pPr>
      <w:r w:rsidRPr="00F952B5">
        <w:t xml:space="preserve">Caso a dotação específica seja </w:t>
      </w:r>
      <w:r w:rsidRPr="00F952B5">
        <w:rPr>
          <w:b/>
          <w:bCs/>
        </w:rPr>
        <w:t>insuficiente</w:t>
      </w:r>
      <w:r w:rsidRPr="00F952B5">
        <w:t xml:space="preserve">, a execução deverá observar os </w:t>
      </w:r>
      <w:r w:rsidRPr="00F952B5">
        <w:rPr>
          <w:b/>
          <w:bCs/>
        </w:rPr>
        <w:t>limites de suplementação</w:t>
      </w:r>
      <w:r w:rsidRPr="00F952B5">
        <w:t xml:space="preserve"> autorizados na LOA e, se necessário, </w:t>
      </w:r>
      <w:r w:rsidRPr="00F952B5">
        <w:rPr>
          <w:b/>
          <w:bCs/>
        </w:rPr>
        <w:t>projeto de crédito adicional</w:t>
      </w:r>
      <w:r w:rsidRPr="00F952B5">
        <w:t xml:space="preserve"> com indicação de </w:t>
      </w:r>
      <w:r w:rsidRPr="00F952B5">
        <w:rPr>
          <w:b/>
          <w:bCs/>
        </w:rPr>
        <w:t>fontes</w:t>
      </w:r>
      <w:r w:rsidRPr="00F952B5">
        <w:t xml:space="preserve"> (superávit financeiro, excesso de arrecadação, anulação de dotação ou operação de crédito).</w:t>
      </w:r>
    </w:p>
    <w:p w14:paraId="0FF02A59" w14:textId="77777777" w:rsidR="00F952B5" w:rsidRPr="00F952B5" w:rsidRDefault="00F952B5" w:rsidP="00F952B5">
      <w:pPr>
        <w:numPr>
          <w:ilvl w:val="0"/>
          <w:numId w:val="1"/>
        </w:numPr>
      </w:pPr>
      <w:r w:rsidRPr="00F952B5">
        <w:rPr>
          <w:b/>
          <w:bCs/>
        </w:rPr>
        <w:t>Resultado Fiscal e Relevância Econômica</w:t>
      </w:r>
    </w:p>
    <w:p w14:paraId="0B9542BF" w14:textId="77777777" w:rsidR="00F952B5" w:rsidRPr="00F952B5" w:rsidRDefault="00F952B5" w:rsidP="00F952B5">
      <w:pPr>
        <w:numPr>
          <w:ilvl w:val="1"/>
          <w:numId w:val="1"/>
        </w:numPr>
        <w:jc w:val="both"/>
      </w:pPr>
      <w:r w:rsidRPr="00F952B5">
        <w:t xml:space="preserve">A despesa tem </w:t>
      </w:r>
      <w:r w:rsidRPr="00F952B5">
        <w:rPr>
          <w:b/>
          <w:bCs/>
        </w:rPr>
        <w:t>potencial de retorno socioeconômico</w:t>
      </w:r>
      <w:r w:rsidRPr="00F952B5">
        <w:t xml:space="preserve"> mediante a implantação do </w:t>
      </w:r>
      <w:r w:rsidRPr="00F952B5">
        <w:rPr>
          <w:b/>
          <w:bCs/>
        </w:rPr>
        <w:t>Distrito Industrial</w:t>
      </w:r>
      <w:r w:rsidRPr="00F952B5">
        <w:t xml:space="preserve">, com efeitos positivos sobre </w:t>
      </w:r>
      <w:r w:rsidRPr="00F952B5">
        <w:rPr>
          <w:b/>
          <w:bCs/>
        </w:rPr>
        <w:t>emprego, renda e base tributária</w:t>
      </w:r>
      <w:r w:rsidRPr="00F952B5">
        <w:t xml:space="preserve">, favorecendo a </w:t>
      </w:r>
      <w:r w:rsidRPr="00F952B5">
        <w:rPr>
          <w:b/>
          <w:bCs/>
        </w:rPr>
        <w:t>sustentabilidade fiscal</w:t>
      </w:r>
      <w:r w:rsidRPr="00F952B5">
        <w:t xml:space="preserve"> no médio prazo.</w:t>
      </w:r>
    </w:p>
    <w:p w14:paraId="782E4584" w14:textId="77777777" w:rsidR="00F952B5" w:rsidRPr="00F952B5" w:rsidRDefault="00F952B5" w:rsidP="00F952B5">
      <w:pPr>
        <w:numPr>
          <w:ilvl w:val="0"/>
          <w:numId w:val="1"/>
        </w:numPr>
      </w:pPr>
      <w:r w:rsidRPr="00F952B5">
        <w:rPr>
          <w:b/>
          <w:bCs/>
        </w:rPr>
        <w:t>Regularidade do Procedimento</w:t>
      </w:r>
    </w:p>
    <w:p w14:paraId="222DD8A2" w14:textId="77777777" w:rsidR="00F952B5" w:rsidRPr="00F952B5" w:rsidRDefault="00F952B5" w:rsidP="00F952B5">
      <w:pPr>
        <w:numPr>
          <w:ilvl w:val="1"/>
          <w:numId w:val="1"/>
        </w:numPr>
        <w:jc w:val="both"/>
      </w:pPr>
      <w:r w:rsidRPr="00F952B5">
        <w:t xml:space="preserve">A </w:t>
      </w:r>
      <w:r w:rsidRPr="00F952B5">
        <w:rPr>
          <w:b/>
          <w:bCs/>
        </w:rPr>
        <w:t>declaração de utilidade pública</w:t>
      </w:r>
      <w:r w:rsidRPr="00F952B5">
        <w:t xml:space="preserve"> (Decreto nº 4256/2025) e o </w:t>
      </w:r>
      <w:r w:rsidRPr="00F952B5">
        <w:rPr>
          <w:b/>
          <w:bCs/>
        </w:rPr>
        <w:t>Termo de Concordância</w:t>
      </w:r>
      <w:r w:rsidRPr="00F952B5">
        <w:t xml:space="preserve"> (11/08/2025) conferem </w:t>
      </w:r>
      <w:r w:rsidRPr="00F952B5">
        <w:rPr>
          <w:b/>
          <w:bCs/>
        </w:rPr>
        <w:t>segurança jurídica</w:t>
      </w:r>
      <w:r w:rsidRPr="00F952B5">
        <w:t xml:space="preserve"> ao valor e à forma de pagamento, nos termos do </w:t>
      </w:r>
      <w:r w:rsidRPr="00F952B5">
        <w:rPr>
          <w:b/>
          <w:bCs/>
        </w:rPr>
        <w:t>Decreto-Lei 3.365/1941</w:t>
      </w:r>
      <w:r w:rsidRPr="00F952B5">
        <w:t>.</w:t>
      </w:r>
    </w:p>
    <w:p w14:paraId="53DC861C" w14:textId="77777777" w:rsidR="00F952B5" w:rsidRPr="00F952B5" w:rsidRDefault="00F952B5" w:rsidP="00F952B5">
      <w:pPr>
        <w:numPr>
          <w:ilvl w:val="1"/>
          <w:numId w:val="1"/>
        </w:numPr>
        <w:jc w:val="both"/>
      </w:pPr>
      <w:r w:rsidRPr="00F952B5">
        <w:lastRenderedPageBreak/>
        <w:t xml:space="preserve">O PL formaliza que as despesas </w:t>
      </w:r>
      <w:r w:rsidRPr="00F952B5">
        <w:rPr>
          <w:b/>
          <w:bCs/>
        </w:rPr>
        <w:t>correrão por dotação própria</w:t>
      </w:r>
      <w:r w:rsidRPr="00F952B5">
        <w:t xml:space="preserve">, suprindo a exigência de </w:t>
      </w:r>
      <w:r w:rsidRPr="00F952B5">
        <w:rPr>
          <w:b/>
          <w:bCs/>
        </w:rPr>
        <w:t>adequação orçamentária</w:t>
      </w:r>
      <w:r w:rsidRPr="00F952B5">
        <w:t>.</w:t>
      </w:r>
    </w:p>
    <w:p w14:paraId="4E11B00B" w14:textId="50B598D2" w:rsidR="00F952B5" w:rsidRPr="00F952B5" w:rsidRDefault="00F952B5" w:rsidP="00F952B5"/>
    <w:p w14:paraId="179B87F7" w14:textId="77777777" w:rsidR="00F952B5" w:rsidRPr="00F952B5" w:rsidRDefault="00F952B5" w:rsidP="00F952B5">
      <w:pPr>
        <w:jc w:val="both"/>
        <w:rPr>
          <w:b/>
          <w:bCs/>
        </w:rPr>
      </w:pPr>
      <w:r w:rsidRPr="00F952B5">
        <w:rPr>
          <w:b/>
          <w:bCs/>
        </w:rPr>
        <w:t>Conclusão</w:t>
      </w:r>
    </w:p>
    <w:p w14:paraId="0DF289A6" w14:textId="77777777" w:rsidR="00F952B5" w:rsidRDefault="00F952B5" w:rsidP="00F952B5">
      <w:pPr>
        <w:jc w:val="both"/>
      </w:pPr>
      <w:r w:rsidRPr="00F952B5">
        <w:t xml:space="preserve">À vista do exposto, a Comissão de Finanças e Orçamento </w:t>
      </w:r>
      <w:r w:rsidRPr="00F952B5">
        <w:rPr>
          <w:b/>
          <w:bCs/>
        </w:rPr>
        <w:t>opina favoravelmente</w:t>
      </w:r>
      <w:r w:rsidRPr="00F952B5">
        <w:t xml:space="preserve"> à tramitação e </w:t>
      </w:r>
      <w:r w:rsidRPr="00F952B5">
        <w:rPr>
          <w:b/>
          <w:bCs/>
        </w:rPr>
        <w:t>aprovação</w:t>
      </w:r>
      <w:r w:rsidRPr="00F952B5">
        <w:t xml:space="preserve"> do Projeto de Lei nº 098/2025 </w:t>
      </w:r>
      <w:r w:rsidRPr="00F952B5">
        <w:rPr>
          <w:b/>
          <w:bCs/>
        </w:rPr>
        <w:t>quanto à adequação orçamentária e financeira</w:t>
      </w:r>
      <w:r w:rsidRPr="00F952B5">
        <w:t xml:space="preserve">, </w:t>
      </w:r>
      <w:r w:rsidRPr="00F952B5">
        <w:rPr>
          <w:b/>
          <w:bCs/>
        </w:rPr>
        <w:t>com as seguintes recomendações operacionais</w:t>
      </w:r>
      <w:r w:rsidRPr="00F952B5">
        <w:t xml:space="preserve"> a serem observadas na execução:</w:t>
      </w:r>
    </w:p>
    <w:p w14:paraId="44BBCCC5" w14:textId="2C9755DC" w:rsidR="00F952B5" w:rsidRPr="00F952B5" w:rsidRDefault="00F952B5" w:rsidP="00F952B5">
      <w:pPr>
        <w:jc w:val="both"/>
      </w:pPr>
      <w:r w:rsidRPr="00F952B5">
        <w:t xml:space="preserve">a) indicação expressa da </w:t>
      </w:r>
      <w:r w:rsidRPr="00F952B5">
        <w:rPr>
          <w:b/>
          <w:bCs/>
        </w:rPr>
        <w:t>fonte de recursos</w:t>
      </w:r>
      <w:r w:rsidRPr="00F952B5">
        <w:t xml:space="preserve"> e da </w:t>
      </w:r>
      <w:r w:rsidRPr="00F952B5">
        <w:rPr>
          <w:b/>
          <w:bCs/>
        </w:rPr>
        <w:t>dotação</w:t>
      </w:r>
      <w:r w:rsidRPr="00F952B5">
        <w:t xml:space="preserve"> na fase de empenho;</w:t>
      </w:r>
      <w:r w:rsidRPr="00F952B5">
        <w:br/>
        <w:t xml:space="preserve">b) apresentação da </w:t>
      </w:r>
      <w:r w:rsidRPr="00F952B5">
        <w:rPr>
          <w:b/>
          <w:bCs/>
        </w:rPr>
        <w:t>estimativa de impacto</w:t>
      </w:r>
      <w:r w:rsidRPr="00F952B5">
        <w:t xml:space="preserve"> e </w:t>
      </w:r>
      <w:r w:rsidRPr="00F952B5">
        <w:rPr>
          <w:b/>
          <w:bCs/>
        </w:rPr>
        <w:t>compatibilidade</w:t>
      </w:r>
      <w:r w:rsidRPr="00F952B5">
        <w:t xml:space="preserve"> com a LOA (LRF, art. 16);</w:t>
      </w:r>
      <w:r w:rsidRPr="00F952B5">
        <w:br/>
        <w:t xml:space="preserve">c) definição do </w:t>
      </w:r>
      <w:r w:rsidRPr="00F952B5">
        <w:rPr>
          <w:b/>
          <w:bCs/>
        </w:rPr>
        <w:t>cronograma de desembolso</w:t>
      </w:r>
      <w:r w:rsidRPr="00F952B5">
        <w:t xml:space="preserve"> e respeito à </w:t>
      </w:r>
      <w:r w:rsidRPr="00F952B5">
        <w:rPr>
          <w:b/>
          <w:bCs/>
        </w:rPr>
        <w:t>programação financeira</w:t>
      </w:r>
      <w:r w:rsidRPr="00F952B5">
        <w:t>;</w:t>
      </w:r>
      <w:r w:rsidRPr="00F952B5">
        <w:br/>
        <w:t xml:space="preserve">d) se necessário, envio de </w:t>
      </w:r>
      <w:r w:rsidRPr="00F952B5">
        <w:rPr>
          <w:b/>
          <w:bCs/>
        </w:rPr>
        <w:t>crédito adicional</w:t>
      </w:r>
      <w:r w:rsidRPr="00F952B5">
        <w:t xml:space="preserve"> para suplementação.</w:t>
      </w:r>
    </w:p>
    <w:p w14:paraId="73AB8AB0" w14:textId="65F39E13" w:rsidR="00F952B5" w:rsidRPr="00F952B5" w:rsidRDefault="00F952B5" w:rsidP="00F952B5"/>
    <w:p w14:paraId="16F47C13" w14:textId="5B3CBAC6" w:rsidR="00F952B5" w:rsidRDefault="00F952B5" w:rsidP="00F952B5">
      <w:r w:rsidRPr="00F952B5">
        <w:t xml:space="preserve">Sala das Comissões, </w:t>
      </w:r>
      <w:r w:rsidRPr="00F952B5">
        <w:t>25 de agosto</w:t>
      </w:r>
      <w:r w:rsidRPr="00F952B5">
        <w:t xml:space="preserve"> de 2025.</w:t>
      </w:r>
    </w:p>
    <w:p w14:paraId="0AB90B72" w14:textId="77777777" w:rsidR="00F952B5" w:rsidRPr="00F952B5" w:rsidRDefault="00F952B5" w:rsidP="00F952B5"/>
    <w:p w14:paraId="1CBA9748" w14:textId="77777777" w:rsidR="00F952B5" w:rsidRDefault="00F952B5" w:rsidP="00F952B5">
      <w:r w:rsidRPr="00F952B5">
        <w:rPr>
          <w:b/>
          <w:bCs/>
        </w:rPr>
        <w:t>Micheli Alves de Lima</w:t>
      </w:r>
      <w:r w:rsidRPr="00F952B5">
        <w:t xml:space="preserve"> – Presidente</w:t>
      </w:r>
    </w:p>
    <w:p w14:paraId="68C10A50" w14:textId="77777777" w:rsidR="00F952B5" w:rsidRDefault="00F952B5" w:rsidP="00F952B5">
      <w:r w:rsidRPr="00F952B5">
        <w:br/>
      </w:r>
      <w:r w:rsidRPr="00F952B5">
        <w:rPr>
          <w:b/>
          <w:bCs/>
        </w:rPr>
        <w:t>Cláudio Alain Guterres do Carmo</w:t>
      </w:r>
      <w:r w:rsidRPr="00F952B5">
        <w:t xml:space="preserve"> – Relator</w:t>
      </w:r>
    </w:p>
    <w:p w14:paraId="3C489B60" w14:textId="3D4A5C3B" w:rsidR="00F952B5" w:rsidRPr="00F952B5" w:rsidRDefault="00F952B5" w:rsidP="00F952B5">
      <w:r w:rsidRPr="00F952B5">
        <w:br/>
      </w:r>
      <w:r w:rsidRPr="00F952B5">
        <w:rPr>
          <w:b/>
          <w:bCs/>
        </w:rPr>
        <w:t xml:space="preserve">Elis Maria </w:t>
      </w:r>
      <w:proofErr w:type="spellStart"/>
      <w:r w:rsidRPr="00F952B5">
        <w:rPr>
          <w:b/>
          <w:bCs/>
        </w:rPr>
        <w:t>Gradaschi</w:t>
      </w:r>
      <w:proofErr w:type="spellEnd"/>
      <w:r w:rsidRPr="00F952B5">
        <w:rPr>
          <w:b/>
          <w:bCs/>
        </w:rPr>
        <w:t xml:space="preserve"> </w:t>
      </w:r>
      <w:proofErr w:type="spellStart"/>
      <w:r w:rsidRPr="00F952B5">
        <w:rPr>
          <w:b/>
          <w:bCs/>
        </w:rPr>
        <w:t>Scalon</w:t>
      </w:r>
      <w:proofErr w:type="spellEnd"/>
      <w:r w:rsidRPr="00F952B5">
        <w:t xml:space="preserve"> – Secretária</w:t>
      </w:r>
    </w:p>
    <w:p w14:paraId="2F001557" w14:textId="77777777" w:rsidR="00F952B5" w:rsidRDefault="00F952B5"/>
    <w:sectPr w:rsidR="00F952B5" w:rsidSect="00F952B5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9C7FDE"/>
    <w:multiLevelType w:val="multilevel"/>
    <w:tmpl w:val="95F41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9401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2B5"/>
    <w:rsid w:val="0033638A"/>
    <w:rsid w:val="00F9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D82FC"/>
  <w15:chartTrackingRefBased/>
  <w15:docId w15:val="{AD486CCD-5A65-413C-8457-7CA7E007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952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52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52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952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52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952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952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952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952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952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52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952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952B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952B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952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952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952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952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952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952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952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952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952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952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952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952B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952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952B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952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3446</Characters>
  <Application>Microsoft Office Word</Application>
  <DocSecurity>0</DocSecurity>
  <Lines>28</Lines>
  <Paragraphs>8</Paragraphs>
  <ScaleCrop>false</ScaleCrop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2025-08-22T13:27:00Z</cp:lastPrinted>
  <dcterms:created xsi:type="dcterms:W3CDTF">2025-08-22T13:23:00Z</dcterms:created>
  <dcterms:modified xsi:type="dcterms:W3CDTF">2025-08-22T13:28:00Z</dcterms:modified>
</cp:coreProperties>
</file>