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B23" w:rsidRPr="00215B23" w:rsidRDefault="00215B23" w:rsidP="00215B23">
      <w:pPr>
        <w:pStyle w:val="Recuodecorpodetexto3"/>
        <w:spacing w:after="0"/>
        <w:ind w:left="1418" w:right="-46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215B23" w:rsidRPr="00215B23" w:rsidRDefault="00215B23" w:rsidP="00215B23">
      <w:pPr>
        <w:pStyle w:val="Recuodecorpodetexto3"/>
        <w:spacing w:after="0"/>
        <w:ind w:left="1418" w:right="-4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5B23">
        <w:rPr>
          <w:rFonts w:ascii="Times New Roman" w:hAnsi="Times New Roman" w:cs="Times New Roman"/>
          <w:b/>
          <w:sz w:val="24"/>
          <w:szCs w:val="24"/>
          <w:u w:val="single"/>
        </w:rPr>
        <w:t>EMENDA À LEI ORGÂNICA MUNICIPAL Nº 2</w:t>
      </w:r>
      <w:r w:rsidRPr="00215B23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215B23">
        <w:rPr>
          <w:rFonts w:ascii="Times New Roman" w:hAnsi="Times New Roman" w:cs="Times New Roman"/>
          <w:b/>
          <w:sz w:val="24"/>
          <w:szCs w:val="24"/>
          <w:u w:val="single"/>
        </w:rPr>
        <w:t>, DE 12.09.2022.</w:t>
      </w:r>
    </w:p>
    <w:p w:rsidR="00215B23" w:rsidRPr="00215B23" w:rsidRDefault="00215B23" w:rsidP="00215B23">
      <w:pPr>
        <w:ind w:left="-284" w:right="-4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15B23" w:rsidRPr="00215B23" w:rsidRDefault="00215B23" w:rsidP="00215B23">
      <w:pPr>
        <w:pStyle w:val="Recuodecorpodetexto3"/>
        <w:spacing w:after="0"/>
        <w:ind w:left="3969" w:right="-4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5B23">
        <w:rPr>
          <w:rFonts w:ascii="Times New Roman" w:hAnsi="Times New Roman" w:cs="Times New Roman"/>
          <w:i/>
          <w:sz w:val="24"/>
          <w:szCs w:val="24"/>
        </w:rPr>
        <w:t xml:space="preserve">Autoria: </w:t>
      </w:r>
      <w:r>
        <w:rPr>
          <w:rFonts w:ascii="Times New Roman" w:hAnsi="Times New Roman" w:cs="Times New Roman"/>
          <w:i/>
          <w:sz w:val="24"/>
          <w:szCs w:val="24"/>
        </w:rPr>
        <w:t xml:space="preserve">Vereadores Willian Freitas Rodrigues, Luiz Roberto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Seibert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Corrêa, José Marciano da Silva e Joaquim Pereira dos Santos.</w:t>
      </w:r>
    </w:p>
    <w:p w:rsidR="00215B23" w:rsidRPr="00215B23" w:rsidRDefault="00215B23" w:rsidP="00215B23">
      <w:pPr>
        <w:ind w:right="-4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5B23" w:rsidRPr="00215B23" w:rsidRDefault="00215B23" w:rsidP="00215B23">
      <w:pPr>
        <w:ind w:left="3969" w:right="-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15B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Acrescenta na Lei Orgânica Municipal o art. 99 - D, para tornar obrigatória a execução da programação orçamentária proveniente das emendas de bancada de parlamentares, previstas nas Emendas Constitucionais nº 86, de 17 de março de 2015, e nº 100, de 26 de junho de 2019.</w:t>
      </w:r>
    </w:p>
    <w:p w:rsidR="00215B23" w:rsidRPr="00215B23" w:rsidRDefault="00215B23" w:rsidP="00215B23">
      <w:pPr>
        <w:pStyle w:val="NormalWeb"/>
        <w:tabs>
          <w:tab w:val="left" w:pos="3969"/>
        </w:tabs>
        <w:spacing w:before="0" w:beforeAutospacing="0" w:after="0" w:afterAutospacing="0"/>
        <w:ind w:right="-46"/>
        <w:jc w:val="both"/>
        <w:rPr>
          <w:b/>
        </w:rPr>
      </w:pPr>
    </w:p>
    <w:p w:rsidR="00215B23" w:rsidRPr="00215B23" w:rsidRDefault="00215B23" w:rsidP="00215B23">
      <w:pPr>
        <w:pStyle w:val="Recuodecorpodetexto2"/>
        <w:spacing w:after="0" w:line="240" w:lineRule="auto"/>
        <w:ind w:left="0" w:right="-46" w:firstLine="1440"/>
        <w:jc w:val="both"/>
        <w:rPr>
          <w:rFonts w:ascii="Times New Roman" w:hAnsi="Times New Roman" w:cs="Times New Roman"/>
          <w:caps/>
          <w:sz w:val="24"/>
          <w:szCs w:val="24"/>
          <w:lang w:val="pt-PT"/>
        </w:rPr>
      </w:pPr>
      <w:r w:rsidRPr="00215B23">
        <w:rPr>
          <w:rFonts w:ascii="Times New Roman" w:hAnsi="Times New Roman" w:cs="Times New Roman"/>
          <w:sz w:val="24"/>
          <w:szCs w:val="24"/>
          <w:lang w:val="pt-PT"/>
        </w:rPr>
        <w:t>A Mesa Diretora da Câmara Municipal de Campo Novo do Parecis, Estado de Mato Grosso, nos termos do art. 36, §2º, da Lei Orgânica Municipal, promulga a seguinte Emenda à Lei Orgânica Municipal: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15B23" w:rsidRDefault="00215B23" w:rsidP="00215B23">
      <w:pPr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Art. 1º</w:t>
      </w:r>
      <w:r w:rsidRPr="00215B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 Fica inserido o art. 99 -D na </w:t>
      </w:r>
      <w:hyperlink r:id="rId6" w:history="1">
        <w:r w:rsidRPr="00215B2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Lei Orgânica</w:t>
        </w:r>
      </w:hyperlink>
      <w:r w:rsidRPr="00215B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do Município de Campo Novo do Parecis/MT, com a seguinte redação: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proofErr w:type="gramStart"/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“ Art.</w:t>
      </w:r>
      <w:proofErr w:type="gramEnd"/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99-D. É obrigatória a execução orçamentária e financeira das programações no montante de até 1% (um por cento) da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previsão de </w:t>
      </w: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receita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de impostos e transferências de impostos, com base no orçamento em vigência, proporcionalmente</w:t>
      </w: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ao número de Vereadores de cada bancada parlamentar.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§ 1º. As programações orçamentárias previstas no caput deste artigo não serão de execução obrigatória nos casos dos impedimentos de ordem técnica.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§ 2º. No caso </w:t>
      </w:r>
      <w:proofErr w:type="gramStart"/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da</w:t>
      </w:r>
      <w:proofErr w:type="gramEnd"/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emenda de bancada de parlamentares aprovada pelo Legislativo ser considerada como impedimento de ordem técnica, serão adotadas as seguintes medidas: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I - </w:t>
      </w:r>
      <w:proofErr w:type="gramStart"/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até 120</w:t>
      </w:r>
      <w:proofErr w:type="gramEnd"/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(cento e vinte) dias após a publicação da lei orçamentária o Poder Executivo enviará ao Poder Legislativo as justificativas do impedimento;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II - </w:t>
      </w:r>
      <w:proofErr w:type="gramStart"/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até 30</w:t>
      </w:r>
      <w:proofErr w:type="gramEnd"/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(trinta) dias após o término do prazo previsto no inciso I deste artigo, o Poder Legislativo indicará ao Poder Executivo o remanejamento da programação cujo impedimento seja insuperável;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III - até 30 de setembro ou até 30 (trinta) dias após o prazo previsto no inciso II deste artigo, o Poder Executivo encaminhará projeto de lei sobre o remanejamento da programação cujo impedimento seja insuperável;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IV - </w:t>
      </w:r>
      <w:proofErr w:type="gramStart"/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se</w:t>
      </w:r>
      <w:proofErr w:type="gramEnd"/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, até 20 de novembro ou até 30 (trinta) dias após o término do prazo previsto no inciso III deste artigo, o Poder Legislativo não deliberar sobre o projeto de lei, o remanejamento será implementado por ato do Poder Executivo, nos termos previstos na lei orçamentária.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§ 3º. Fica o Poder Executivo responsável por encaminhar ao Poder Legislativo Municipal os valores correspondentes a receita corrente líquida do exercício anterior.</w:t>
      </w:r>
    </w:p>
    <w:p w:rsid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§ 4º. Os restos a pagar provenientes das programações orçamentárias previstas neste artigo poderão ser consideradas para fins de cumprimento da execução financeira até o limite de 0,6% (seis décimos por cento) da receita corrente líquida realizada </w:t>
      </w:r>
    </w:p>
    <w:p w:rsidR="00215B23" w:rsidRDefault="00215B23" w:rsidP="00215B23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</w:p>
    <w:p w:rsidR="00215B23" w:rsidRDefault="00215B23" w:rsidP="00215B23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</w:p>
    <w:p w:rsidR="00215B23" w:rsidRDefault="00215B23" w:rsidP="00215B23">
      <w:pPr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no exercício anterior, para as programações das emendas individuais, e até o limite de 0,5% (cinco décimos por cento), para as programações das emendas de iniciativa de Bancada de Parlamentares.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§ 5º.  Se for verificado que a reestimativa da receita e da despesa poderá resultar no não cumprimento da meta de resultado fiscal estabelecida na lei de diretrizes orçamentárias, o montante previsto no caput do art. 99-C poderá ser reduzido em até a mesma proporção da limitação incidente sobre o conjunto das despesas discricionárias.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§ 6º. Considera-se equitativa a execução das programações de caráter obrigatório que observe critérios objetivos e imparciais e que atenda de forma igualitária e impessoal às emendas apresentadas, independentemente da autoria.</w:t>
      </w:r>
    </w:p>
    <w:p w:rsidR="00215B23" w:rsidRPr="00215B23" w:rsidRDefault="00215B23" w:rsidP="00215B23">
      <w:pPr>
        <w:ind w:firstLine="141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215B2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§ 7º. Pelo menos 50% (cinquenta por cento) das Emendas Individuais e Parlamentares de Bancada impositivas deverão ser liberadas até o dia 31 de julho de cada ano, e o restante, até o dia 30 de novembro do referido exercício."</w:t>
      </w:r>
    </w:p>
    <w:p w:rsidR="00215B23" w:rsidRPr="00215B23" w:rsidRDefault="00215B23" w:rsidP="00215B23">
      <w:pPr>
        <w:ind w:right="-4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15B23" w:rsidRPr="00215B23" w:rsidRDefault="00215B23" w:rsidP="00215B23">
      <w:pPr>
        <w:ind w:right="-46"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15B23">
        <w:rPr>
          <w:rFonts w:ascii="Times New Roman" w:hAnsi="Times New Roman" w:cs="Times New Roman"/>
          <w:b/>
          <w:color w:val="000000"/>
          <w:sz w:val="24"/>
          <w:szCs w:val="24"/>
        </w:rPr>
        <w:t>Art. 2º</w:t>
      </w:r>
      <w:r w:rsidRPr="00215B23">
        <w:rPr>
          <w:rFonts w:ascii="Times New Roman" w:hAnsi="Times New Roman" w:cs="Times New Roman"/>
          <w:color w:val="000000"/>
          <w:sz w:val="24"/>
          <w:szCs w:val="24"/>
        </w:rPr>
        <w:t>. Esta Emenda à Lei Orgânica Municipal entra vigor na data de sua publicação.</w:t>
      </w:r>
    </w:p>
    <w:p w:rsidR="00215B23" w:rsidRPr="00215B23" w:rsidRDefault="00215B23" w:rsidP="00215B23">
      <w:pPr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15B23" w:rsidRPr="00215B23" w:rsidRDefault="00215B23" w:rsidP="00215B23">
      <w:pPr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15B23" w:rsidRPr="00215B23" w:rsidRDefault="00215B23" w:rsidP="00215B23">
      <w:pPr>
        <w:tabs>
          <w:tab w:val="left" w:pos="1418"/>
        </w:tabs>
        <w:ind w:left="-284" w:right="-46"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5B23"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215B23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setembro</w:t>
      </w:r>
      <w:r w:rsidRPr="00215B23">
        <w:rPr>
          <w:rFonts w:ascii="Times New Roman" w:hAnsi="Times New Roman" w:cs="Times New Roman"/>
          <w:sz w:val="24"/>
          <w:szCs w:val="24"/>
        </w:rPr>
        <w:t xml:space="preserve"> de 2022.  </w:t>
      </w:r>
    </w:p>
    <w:p w:rsidR="00215B23" w:rsidRPr="00215B23" w:rsidRDefault="00215B23" w:rsidP="00215B23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215B23" w:rsidRDefault="00215B23" w:rsidP="00215B23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215B23" w:rsidRDefault="00215B23" w:rsidP="00215B23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215B23" w:rsidRPr="00215B23" w:rsidRDefault="00215B23" w:rsidP="00215B23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215B23" w:rsidRPr="00215B23" w:rsidRDefault="00215B23" w:rsidP="00215B23">
      <w:pPr>
        <w:autoSpaceDE w:val="0"/>
        <w:autoSpaceDN w:val="0"/>
        <w:adjustRightInd w:val="0"/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5B23">
        <w:rPr>
          <w:rFonts w:ascii="Times New Roman" w:hAnsi="Times New Roman" w:cs="Times New Roman"/>
          <w:sz w:val="24"/>
          <w:szCs w:val="24"/>
        </w:rPr>
        <w:tab/>
      </w:r>
      <w:r w:rsidRPr="00215B23">
        <w:rPr>
          <w:rFonts w:ascii="Times New Roman" w:hAnsi="Times New Roman" w:cs="Times New Roman"/>
          <w:sz w:val="24"/>
          <w:szCs w:val="24"/>
        </w:rPr>
        <w:tab/>
      </w:r>
      <w:r w:rsidRPr="00215B23">
        <w:rPr>
          <w:rFonts w:ascii="Times New Roman" w:hAnsi="Times New Roman" w:cs="Times New Roman"/>
          <w:sz w:val="24"/>
          <w:szCs w:val="24"/>
        </w:rPr>
        <w:tab/>
      </w:r>
      <w:r w:rsidRPr="00215B23">
        <w:rPr>
          <w:rFonts w:ascii="Times New Roman" w:hAnsi="Times New Roman" w:cs="Times New Roman"/>
          <w:b/>
          <w:sz w:val="24"/>
          <w:szCs w:val="24"/>
        </w:rPr>
        <w:tab/>
      </w:r>
    </w:p>
    <w:p w:rsidR="00215B23" w:rsidRPr="00215B23" w:rsidRDefault="00215B23" w:rsidP="00215B23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5B23">
        <w:rPr>
          <w:rFonts w:ascii="Times New Roman" w:hAnsi="Times New Roman" w:cs="Times New Roman"/>
          <w:b/>
          <w:sz w:val="24"/>
          <w:szCs w:val="24"/>
        </w:rPr>
        <w:t>VER. WILLIAN FREITAS RODRIGUES</w:t>
      </w:r>
    </w:p>
    <w:p w:rsidR="00215B23" w:rsidRPr="00215B23" w:rsidRDefault="00215B23" w:rsidP="00215B23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  <w:r w:rsidRPr="00215B23">
        <w:rPr>
          <w:rFonts w:ascii="Times New Roman" w:hAnsi="Times New Roman" w:cs="Times New Roman"/>
          <w:sz w:val="24"/>
          <w:szCs w:val="24"/>
        </w:rPr>
        <w:t>Presidente</w:t>
      </w:r>
    </w:p>
    <w:p w:rsidR="00215B23" w:rsidRPr="00215B23" w:rsidRDefault="00215B23" w:rsidP="00215B23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</w:p>
    <w:p w:rsidR="00215B23" w:rsidRPr="00215B23" w:rsidRDefault="00215B23" w:rsidP="00215B23">
      <w:pPr>
        <w:ind w:right="-46"/>
        <w:rPr>
          <w:rFonts w:ascii="Times New Roman" w:hAnsi="Times New Roman" w:cs="Times New Roman"/>
          <w:sz w:val="24"/>
          <w:szCs w:val="24"/>
        </w:rPr>
      </w:pPr>
    </w:p>
    <w:p w:rsidR="00215B23" w:rsidRDefault="00215B23" w:rsidP="00215B23">
      <w:pPr>
        <w:ind w:right="-46"/>
        <w:rPr>
          <w:rFonts w:ascii="Times New Roman" w:hAnsi="Times New Roman" w:cs="Times New Roman"/>
          <w:sz w:val="24"/>
          <w:szCs w:val="24"/>
        </w:rPr>
      </w:pPr>
    </w:p>
    <w:p w:rsidR="00215B23" w:rsidRPr="00215B23" w:rsidRDefault="00215B23" w:rsidP="00215B23">
      <w:pPr>
        <w:ind w:right="-46"/>
        <w:rPr>
          <w:rFonts w:ascii="Times New Roman" w:hAnsi="Times New Roman" w:cs="Times New Roman"/>
          <w:sz w:val="24"/>
          <w:szCs w:val="24"/>
        </w:rPr>
      </w:pPr>
    </w:p>
    <w:p w:rsidR="00215B23" w:rsidRPr="00215B23" w:rsidRDefault="00215B23" w:rsidP="00215B23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</w:p>
    <w:p w:rsidR="00215B23" w:rsidRPr="00215B23" w:rsidRDefault="00215B23" w:rsidP="00215B23">
      <w:pPr>
        <w:ind w:right="-46"/>
        <w:jc w:val="center"/>
        <w:rPr>
          <w:rFonts w:ascii="Times New Roman" w:hAnsi="Times New Roman" w:cs="Times New Roman"/>
          <w:sz w:val="24"/>
          <w:szCs w:val="24"/>
        </w:rPr>
      </w:pPr>
      <w:r w:rsidRPr="00215B23">
        <w:rPr>
          <w:rFonts w:ascii="Times New Roman" w:hAnsi="Times New Roman" w:cs="Times New Roman"/>
          <w:b/>
          <w:sz w:val="24"/>
          <w:szCs w:val="24"/>
        </w:rPr>
        <w:t>VER.  LUIZ ROBERTO S. CORRÊA         VER. JOSÉ MARCIANO DA SILVA</w:t>
      </w:r>
      <w:r w:rsidRPr="00215B23">
        <w:rPr>
          <w:rFonts w:ascii="Times New Roman" w:hAnsi="Times New Roman" w:cs="Times New Roman"/>
          <w:sz w:val="24"/>
          <w:szCs w:val="24"/>
        </w:rPr>
        <w:t xml:space="preserve">            1ª Secretário</w:t>
      </w:r>
      <w:r w:rsidRPr="00215B23">
        <w:rPr>
          <w:rFonts w:ascii="Times New Roman" w:hAnsi="Times New Roman" w:cs="Times New Roman"/>
          <w:sz w:val="24"/>
          <w:szCs w:val="24"/>
        </w:rPr>
        <w:tab/>
      </w:r>
      <w:r w:rsidRPr="00215B23">
        <w:rPr>
          <w:rFonts w:ascii="Times New Roman" w:hAnsi="Times New Roman" w:cs="Times New Roman"/>
          <w:sz w:val="24"/>
          <w:szCs w:val="24"/>
        </w:rPr>
        <w:tab/>
      </w:r>
      <w:r w:rsidRPr="00215B23">
        <w:rPr>
          <w:rFonts w:ascii="Times New Roman" w:hAnsi="Times New Roman" w:cs="Times New Roman"/>
          <w:sz w:val="24"/>
          <w:szCs w:val="24"/>
        </w:rPr>
        <w:tab/>
        <w:t xml:space="preserve">                         2º Secretário</w:t>
      </w:r>
    </w:p>
    <w:p w:rsidR="00215B23" w:rsidRPr="00215B23" w:rsidRDefault="00215B23" w:rsidP="00215B23">
      <w:pPr>
        <w:ind w:right="-46"/>
        <w:rPr>
          <w:rFonts w:ascii="Times New Roman" w:hAnsi="Times New Roman" w:cs="Times New Roman"/>
          <w:sz w:val="24"/>
          <w:szCs w:val="24"/>
        </w:rPr>
      </w:pPr>
    </w:p>
    <w:p w:rsidR="00215B23" w:rsidRPr="00215B23" w:rsidRDefault="00215B23" w:rsidP="00215B23">
      <w:pPr>
        <w:ind w:right="-46"/>
        <w:rPr>
          <w:rFonts w:ascii="Times New Roman" w:hAnsi="Times New Roman" w:cs="Times New Roman"/>
          <w:sz w:val="24"/>
          <w:szCs w:val="24"/>
        </w:rPr>
      </w:pPr>
    </w:p>
    <w:p w:rsidR="00215B23" w:rsidRPr="00215B23" w:rsidRDefault="00215B23" w:rsidP="00215B23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B23" w:rsidRPr="00215B23" w:rsidRDefault="00215B23" w:rsidP="00215B23">
      <w:pPr>
        <w:ind w:right="-46"/>
        <w:rPr>
          <w:rFonts w:ascii="Times New Roman" w:hAnsi="Times New Roman" w:cs="Times New Roman"/>
          <w:sz w:val="24"/>
          <w:szCs w:val="24"/>
        </w:rPr>
      </w:pPr>
    </w:p>
    <w:p w:rsidR="00215B23" w:rsidRPr="00215B23" w:rsidRDefault="00215B23" w:rsidP="00215B23">
      <w:pPr>
        <w:rPr>
          <w:rFonts w:ascii="Times New Roman" w:hAnsi="Times New Roman" w:cs="Times New Roman"/>
          <w:sz w:val="24"/>
          <w:szCs w:val="24"/>
        </w:rPr>
      </w:pPr>
    </w:p>
    <w:p w:rsidR="00AE46CD" w:rsidRPr="00215B23" w:rsidRDefault="00AE46CD">
      <w:pPr>
        <w:rPr>
          <w:rFonts w:ascii="Times New Roman" w:hAnsi="Times New Roman" w:cs="Times New Roman"/>
          <w:sz w:val="24"/>
          <w:szCs w:val="24"/>
        </w:rPr>
      </w:pPr>
    </w:p>
    <w:sectPr w:rsidR="00AE46CD" w:rsidRPr="00215B23" w:rsidSect="00215B23">
      <w:headerReference w:type="default" r:id="rId7"/>
      <w:footerReference w:type="default" r:id="rId8"/>
      <w:pgSz w:w="11906" w:h="16838"/>
      <w:pgMar w:top="1440" w:right="1440" w:bottom="1440" w:left="1440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63E3" w:rsidRDefault="00F363E3" w:rsidP="00215B23">
      <w:r>
        <w:separator/>
      </w:r>
    </w:p>
  </w:endnote>
  <w:endnote w:type="continuationSeparator" w:id="0">
    <w:p w:rsidR="00F363E3" w:rsidRDefault="00F363E3" w:rsidP="00215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23" w:rsidRDefault="00215B23">
    <w:pPr>
      <w:pStyle w:val="Rodap"/>
    </w:pPr>
    <w:r>
      <w:rPr>
        <w:noProof/>
      </w:rPr>
      <w:drawing>
        <wp:inline distT="0" distB="0" distL="0" distR="0" wp14:anchorId="5A01C317" wp14:editId="10A6303C">
          <wp:extent cx="5400040" cy="38481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63E3" w:rsidRDefault="00F363E3" w:rsidP="00215B23">
      <w:r>
        <w:separator/>
      </w:r>
    </w:p>
  </w:footnote>
  <w:footnote w:type="continuationSeparator" w:id="0">
    <w:p w:rsidR="00F363E3" w:rsidRDefault="00F363E3" w:rsidP="00215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23" w:rsidRDefault="00215B23">
    <w:pPr>
      <w:pStyle w:val="Cabealho"/>
    </w:pPr>
    <w:r>
      <w:rPr>
        <w:noProof/>
      </w:rPr>
      <w:drawing>
        <wp:inline distT="0" distB="0" distL="0" distR="0" wp14:anchorId="74389C6C" wp14:editId="39C04477">
          <wp:extent cx="5731510" cy="71120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5B23"/>
    <w:rsid w:val="00217F62"/>
    <w:rsid w:val="00A906D8"/>
    <w:rsid w:val="00AB5A74"/>
    <w:rsid w:val="00AE46CD"/>
    <w:rsid w:val="00F071AE"/>
    <w:rsid w:val="00F3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2E2ECF"/>
  <w15:docId w15:val="{7E8F785A-5FD5-46DF-9C86-36261BCA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15B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215B2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215B23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15B2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15B23"/>
    <w:rPr>
      <w:sz w:val="16"/>
      <w:szCs w:val="16"/>
    </w:rPr>
  </w:style>
  <w:style w:type="character" w:styleId="nfase">
    <w:name w:val="Emphasis"/>
    <w:basedOn w:val="Fontepargpadro"/>
    <w:uiPriority w:val="20"/>
    <w:qFormat/>
    <w:rsid w:val="00215B23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215B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5B23"/>
  </w:style>
  <w:style w:type="paragraph" w:styleId="Rodap">
    <w:name w:val="footer"/>
    <w:basedOn w:val="Normal"/>
    <w:link w:val="RodapChar"/>
    <w:uiPriority w:val="99"/>
    <w:unhideWhenUsed/>
    <w:rsid w:val="00215B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5B23"/>
  </w:style>
  <w:style w:type="character" w:styleId="Hyperlink">
    <w:name w:val="Hyperlink"/>
    <w:basedOn w:val="Fontepargpadro"/>
    <w:uiPriority w:val="99"/>
    <w:semiHidden/>
    <w:unhideWhenUsed/>
    <w:rsid w:val="00215B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lei-organica-bom-retiro-sc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631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cp:lastPrinted>2022-09-13T14:25:00Z</cp:lastPrinted>
  <dcterms:created xsi:type="dcterms:W3CDTF">2022-09-13T14:11:00Z</dcterms:created>
  <dcterms:modified xsi:type="dcterms:W3CDTF">2022-09-13T14:25:00Z</dcterms:modified>
</cp:coreProperties>
</file>