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1A3" w:rsidRDefault="007331A3" w:rsidP="00AF457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08EB" w:rsidRPr="00AF457D" w:rsidRDefault="004E08EB" w:rsidP="00AF457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F457D">
        <w:rPr>
          <w:rFonts w:ascii="Times New Roman" w:hAnsi="Times New Roman"/>
          <w:b/>
          <w:bCs/>
          <w:sz w:val="28"/>
          <w:szCs w:val="28"/>
        </w:rPr>
        <w:t>LEI Nº 656/90</w:t>
      </w:r>
    </w:p>
    <w:p w:rsidR="004E08EB" w:rsidRPr="00AF457D" w:rsidRDefault="004E08EB" w:rsidP="004E08EB">
      <w:pPr>
        <w:rPr>
          <w:rFonts w:ascii="Times New Roman" w:hAnsi="Times New Roman"/>
          <w:b/>
          <w:bCs/>
          <w:sz w:val="28"/>
          <w:szCs w:val="28"/>
        </w:rPr>
      </w:pPr>
    </w:p>
    <w:p w:rsidR="00AF457D" w:rsidRDefault="00AF457D" w:rsidP="004E08EB">
      <w:pPr>
        <w:rPr>
          <w:rFonts w:ascii="Times New Roman" w:hAnsi="Times New Roman"/>
          <w:b/>
          <w:bCs/>
          <w:sz w:val="28"/>
          <w:szCs w:val="28"/>
        </w:rPr>
      </w:pPr>
    </w:p>
    <w:p w:rsidR="004E08EB" w:rsidRPr="00AF457D" w:rsidRDefault="004E08EB" w:rsidP="00AF457D">
      <w:pPr>
        <w:ind w:left="5103"/>
        <w:rPr>
          <w:rFonts w:ascii="Times New Roman" w:hAnsi="Times New Roman"/>
          <w:b/>
          <w:bCs/>
          <w:sz w:val="28"/>
          <w:szCs w:val="28"/>
        </w:rPr>
      </w:pPr>
      <w:r w:rsidRPr="00AF457D">
        <w:rPr>
          <w:rFonts w:ascii="Times New Roman" w:hAnsi="Times New Roman"/>
          <w:b/>
          <w:bCs/>
          <w:sz w:val="28"/>
          <w:szCs w:val="28"/>
        </w:rPr>
        <w:t xml:space="preserve">Estabelece diretrizes gerais para a elaboração do </w:t>
      </w:r>
      <w:r w:rsidR="00AF457D">
        <w:rPr>
          <w:rFonts w:ascii="Times New Roman" w:hAnsi="Times New Roman"/>
          <w:b/>
          <w:bCs/>
          <w:sz w:val="28"/>
          <w:szCs w:val="28"/>
        </w:rPr>
        <w:t>orçamento do Município para o e</w:t>
      </w:r>
      <w:r w:rsidRPr="00AF457D">
        <w:rPr>
          <w:rFonts w:ascii="Times New Roman" w:hAnsi="Times New Roman"/>
          <w:b/>
          <w:bCs/>
          <w:sz w:val="28"/>
          <w:szCs w:val="28"/>
        </w:rPr>
        <w:t>xercício de 1991</w:t>
      </w:r>
      <w:r w:rsidR="00AF457D">
        <w:rPr>
          <w:rFonts w:ascii="Times New Roman" w:hAnsi="Times New Roman"/>
          <w:b/>
          <w:bCs/>
          <w:sz w:val="28"/>
          <w:szCs w:val="28"/>
        </w:rPr>
        <w:t xml:space="preserve"> e d</w:t>
      </w:r>
      <w:r w:rsidRPr="00AF457D">
        <w:rPr>
          <w:rFonts w:ascii="Times New Roman" w:hAnsi="Times New Roman"/>
          <w:b/>
          <w:bCs/>
          <w:sz w:val="28"/>
          <w:szCs w:val="28"/>
        </w:rPr>
        <w:t>á Outras Providências.</w:t>
      </w:r>
    </w:p>
    <w:p w:rsidR="004E08EB" w:rsidRPr="00AF457D" w:rsidRDefault="004E08EB" w:rsidP="004E08EB">
      <w:pPr>
        <w:rPr>
          <w:rFonts w:ascii="Times New Roman" w:hAnsi="Times New Roman"/>
          <w:b/>
          <w:bCs/>
          <w:sz w:val="28"/>
          <w:szCs w:val="28"/>
        </w:rPr>
      </w:pPr>
    </w:p>
    <w:p w:rsidR="004E08EB" w:rsidRPr="00AF457D" w:rsidRDefault="004E08EB" w:rsidP="004E08EB">
      <w:pPr>
        <w:rPr>
          <w:rFonts w:ascii="Times New Roman" w:hAnsi="Times New Roman"/>
          <w:b/>
          <w:bCs/>
          <w:sz w:val="28"/>
          <w:szCs w:val="28"/>
        </w:rPr>
      </w:pPr>
    </w:p>
    <w:p w:rsidR="004E08EB" w:rsidRPr="00AF457D" w:rsidRDefault="004E08EB" w:rsidP="004E08EB">
      <w:pPr>
        <w:pStyle w:val="Corpodetexto"/>
        <w:rPr>
          <w:szCs w:val="28"/>
        </w:rPr>
      </w:pPr>
      <w:r w:rsidRPr="00AF457D">
        <w:rPr>
          <w:szCs w:val="28"/>
        </w:rPr>
        <w:t>Art. 1º -</w:t>
      </w:r>
      <w:r w:rsidRPr="00AF457D">
        <w:rPr>
          <w:szCs w:val="28"/>
        </w:rPr>
        <w:tab/>
        <w:t>A Lei Orçamentária para o exercício de 1991 será elaborada em conformidade com as diretrizes desta Lei, e em consonância com as disposições da Constituição Federal, da Constituição Estadual, da Lei Orgânica e da Lei nº 4.330 de 17 de março de 1964, no que couber.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2º -</w:t>
      </w:r>
      <w:r w:rsidRPr="00AF457D">
        <w:rPr>
          <w:rFonts w:ascii="Times New Roman" w:hAnsi="Times New Roman"/>
          <w:sz w:val="28"/>
          <w:szCs w:val="28"/>
        </w:rPr>
        <w:tab/>
        <w:t>As receitas abrangerão a receita a receita tributária própria, a receita patrimonial, as diversas receitas admitidas em lei e as parcelas transferidas pela União e pelo Estado resultantes de suas receitas fiscais, nos termos da Constituição Federal.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§ 1º -</w:t>
      </w:r>
      <w:r w:rsidRPr="00AF457D">
        <w:rPr>
          <w:rFonts w:ascii="Times New Roman" w:hAnsi="Times New Roman"/>
          <w:sz w:val="28"/>
          <w:szCs w:val="28"/>
        </w:rPr>
        <w:tab/>
        <w:t>As receitas de impostos e taxas terão por base os valores do orçamento de 1990, corrigidas pelo índice de inflação projetado para 1991, levando-se ainda em conta.</w:t>
      </w:r>
    </w:p>
    <w:p w:rsidR="004E08EB" w:rsidRPr="00AF457D" w:rsidRDefault="004E08EB" w:rsidP="004E08EB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  <w:t>I – a expansão do número de contribuintes.</w:t>
      </w:r>
    </w:p>
    <w:p w:rsidR="004E08EB" w:rsidRPr="00AF457D" w:rsidRDefault="004E08EB" w:rsidP="004E08E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  <w:t>II – a atualização do cadastro imobiliário fiscal.</w:t>
      </w:r>
    </w:p>
    <w:p w:rsidR="004E08EB" w:rsidRPr="00AF457D" w:rsidRDefault="004E08EB" w:rsidP="004E08EB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§ 2º -</w:t>
      </w:r>
      <w:r w:rsidRPr="00AF457D">
        <w:rPr>
          <w:rFonts w:ascii="Times New Roman" w:hAnsi="Times New Roman"/>
          <w:sz w:val="28"/>
          <w:szCs w:val="28"/>
        </w:rPr>
        <w:tab/>
        <w:t>Os valores das parcelas a serem transferidas pelos governos Federal e Estadual, serão fornecidos por órgão competente do governo do estado, até o dia 15 de agosto de 1990.</w:t>
      </w:r>
    </w:p>
    <w:p w:rsidR="004E08EB" w:rsidRPr="00AF457D" w:rsidRDefault="004E08EB" w:rsidP="004E08EB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§ 3º -</w:t>
      </w:r>
      <w:r w:rsidRPr="00AF457D">
        <w:rPr>
          <w:rFonts w:ascii="Times New Roman" w:hAnsi="Times New Roman"/>
          <w:sz w:val="28"/>
          <w:szCs w:val="28"/>
        </w:rPr>
        <w:tab/>
        <w:t>As parcelas transferidas mencionadas no parágrafo anterior são as constantes no art. 158 e 159 I b,c e II, parágrafo 3º da Constituição Federal.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3º -</w:t>
      </w:r>
      <w:r w:rsidRPr="00AF457D">
        <w:rPr>
          <w:rFonts w:ascii="Times New Roman" w:hAnsi="Times New Roman"/>
          <w:sz w:val="28"/>
          <w:szCs w:val="28"/>
        </w:rPr>
        <w:tab/>
        <w:t>As despesas serão fixadas no mesmo valor da receita prevista e serão distribuídas segundo as necessidades reais de cada órgão e de suas unidades orçamentárias, ficando assegurado o máximo de recursos à despesa de capital.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§ Único -</w:t>
      </w:r>
      <w:r w:rsidRPr="00AF457D">
        <w:rPr>
          <w:rFonts w:ascii="Times New Roman" w:hAnsi="Times New Roman"/>
          <w:sz w:val="28"/>
          <w:szCs w:val="28"/>
        </w:rPr>
        <w:tab/>
        <w:t>O poder legislativo encaminhará, até o dia 1º de agosto, o orçamento de suas despesas acompanhado de quadro demonstrativo dos cálculos de modo a justificar o seu montante.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AF457D" w:rsidRDefault="00AF457D" w:rsidP="004E08EB">
      <w:pPr>
        <w:jc w:val="both"/>
        <w:rPr>
          <w:rFonts w:ascii="Times New Roman" w:hAnsi="Times New Roman"/>
          <w:sz w:val="28"/>
          <w:szCs w:val="28"/>
        </w:rPr>
      </w:pPr>
    </w:p>
    <w:p w:rsidR="00AF457D" w:rsidRDefault="00AF457D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4º -</w:t>
      </w:r>
      <w:r w:rsidRPr="00AF457D">
        <w:rPr>
          <w:rFonts w:ascii="Times New Roman" w:hAnsi="Times New Roman"/>
          <w:sz w:val="28"/>
          <w:szCs w:val="28"/>
        </w:rPr>
        <w:tab/>
        <w:t>À manutenção e desenvolvimento do ensino, será destinada parcela de recursos não inferior a 25%(vinte e cinco por cento) da receita de impostos, inclusive as transferências dos governos do Estado e da União, resultantes de suas receitas de impostos.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  <w:t>§ 1º -</w:t>
      </w:r>
      <w:r w:rsidRPr="00AF457D">
        <w:rPr>
          <w:rFonts w:ascii="Times New Roman" w:hAnsi="Times New Roman"/>
          <w:sz w:val="28"/>
          <w:szCs w:val="28"/>
        </w:rPr>
        <w:tab/>
        <w:t>As parcelas transferidas pelas esferas de governos mencionadas no artigo, são as referidas no artigo 2º, parágrafo 3º desta Lei.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  <w:t>§ 2º -</w:t>
      </w:r>
      <w:r w:rsidRPr="00AF457D">
        <w:rPr>
          <w:rFonts w:ascii="Times New Roman" w:hAnsi="Times New Roman"/>
          <w:sz w:val="28"/>
          <w:szCs w:val="28"/>
        </w:rPr>
        <w:tab/>
        <w:t>Serão destinados também, à manutenção e desenvolvimento do ensino, vinte e cinco por cento das parcelas transferidas pelos governos da União e do Estado, provenientes do recebimento de antigos impostos inseridos em suas competências tributárias respectivas, como: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  <w:t>I – imposto único sobre combustíveis líquidos e gasosos;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  <w:t>II – imposto sobre transportes rodoviários;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  <w:t>III – imposto único sobre minerais;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  <w:t>IV – imposto sobre a transmissão de bens imóveis.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5º -</w:t>
      </w:r>
      <w:r w:rsidRPr="00AF457D">
        <w:rPr>
          <w:rFonts w:ascii="Times New Roman" w:hAnsi="Times New Roman"/>
          <w:sz w:val="28"/>
          <w:szCs w:val="28"/>
        </w:rPr>
        <w:tab/>
        <w:t>Até a promulgação da Lei Complementar a que se refere o artigo 169 da Constituição Federal, o município não despenderá, com pessoal, parcela de recursos superior e sessenta e cinco por cento do valor da receita corrente consignada na lei de orçamento.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AF457D" w:rsidP="004E08E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E08EB" w:rsidRPr="00AF457D">
        <w:rPr>
          <w:rFonts w:ascii="Times New Roman" w:hAnsi="Times New Roman"/>
          <w:sz w:val="28"/>
          <w:szCs w:val="28"/>
        </w:rPr>
        <w:t>§ Único -</w:t>
      </w:r>
      <w:r w:rsidR="004E08EB" w:rsidRPr="00AF457D">
        <w:rPr>
          <w:rFonts w:ascii="Times New Roman" w:hAnsi="Times New Roman"/>
          <w:sz w:val="28"/>
          <w:szCs w:val="28"/>
        </w:rPr>
        <w:tab/>
        <w:t>A despesa com pessoal referida no artigo abrangerá:</w:t>
      </w:r>
    </w:p>
    <w:p w:rsid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</w:r>
      <w:r w:rsidR="00AF457D">
        <w:rPr>
          <w:rFonts w:ascii="Times New Roman" w:hAnsi="Times New Roman"/>
          <w:sz w:val="28"/>
          <w:szCs w:val="28"/>
        </w:rPr>
        <w:tab/>
      </w:r>
      <w:r w:rsidR="00AF457D">
        <w:rPr>
          <w:rFonts w:ascii="Times New Roman" w:hAnsi="Times New Roman"/>
          <w:sz w:val="28"/>
          <w:szCs w:val="28"/>
        </w:rPr>
        <w:tab/>
      </w:r>
    </w:p>
    <w:p w:rsidR="004E08EB" w:rsidRPr="00AF457D" w:rsidRDefault="00AF457D" w:rsidP="004E08E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E08EB" w:rsidRPr="00AF457D">
        <w:rPr>
          <w:rFonts w:ascii="Times New Roman" w:hAnsi="Times New Roman"/>
          <w:sz w:val="28"/>
          <w:szCs w:val="28"/>
        </w:rPr>
        <w:t>I – o pagamento de subsídios dos agentes políticos;</w:t>
      </w:r>
    </w:p>
    <w:p w:rsid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</w:r>
      <w:r w:rsidR="00AF457D">
        <w:rPr>
          <w:rFonts w:ascii="Times New Roman" w:hAnsi="Times New Roman"/>
          <w:sz w:val="28"/>
          <w:szCs w:val="28"/>
        </w:rPr>
        <w:tab/>
      </w:r>
      <w:r w:rsidR="00AF457D">
        <w:rPr>
          <w:rFonts w:ascii="Times New Roman" w:hAnsi="Times New Roman"/>
          <w:sz w:val="28"/>
          <w:szCs w:val="28"/>
        </w:rPr>
        <w:tab/>
      </w:r>
    </w:p>
    <w:p w:rsidR="004E08EB" w:rsidRPr="00AF457D" w:rsidRDefault="00AF457D" w:rsidP="004E08E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E08EB" w:rsidRPr="00AF457D">
        <w:rPr>
          <w:rFonts w:ascii="Times New Roman" w:hAnsi="Times New Roman"/>
          <w:sz w:val="28"/>
          <w:szCs w:val="28"/>
        </w:rPr>
        <w:t xml:space="preserve">II – o pagamento do pessoal do poder executivo, incluindo-se o 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  <w:t xml:space="preserve">      </w:t>
      </w:r>
      <w:r w:rsidR="00AF457D">
        <w:rPr>
          <w:rFonts w:ascii="Times New Roman" w:hAnsi="Times New Roman"/>
          <w:sz w:val="28"/>
          <w:szCs w:val="28"/>
        </w:rPr>
        <w:tab/>
      </w:r>
      <w:r w:rsid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 xml:space="preserve"> pagamento dos aposentados  e  pensionistas  e  do  pessoal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  <w:t xml:space="preserve">      </w:t>
      </w:r>
      <w:r w:rsidR="00AF457D">
        <w:rPr>
          <w:rFonts w:ascii="Times New Roman" w:hAnsi="Times New Roman"/>
          <w:sz w:val="28"/>
          <w:szCs w:val="28"/>
        </w:rPr>
        <w:tab/>
      </w:r>
      <w:r w:rsid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 xml:space="preserve"> ocupado na manutenção e desenvolvimento do ensino a que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  <w:t xml:space="preserve">       </w:t>
      </w:r>
      <w:r w:rsidR="00AF457D">
        <w:rPr>
          <w:rFonts w:ascii="Times New Roman" w:hAnsi="Times New Roman"/>
          <w:sz w:val="28"/>
          <w:szCs w:val="28"/>
        </w:rPr>
        <w:tab/>
      </w:r>
      <w:r w:rsid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>se refere o Artigo 4º desta Lei.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6º -</w:t>
      </w:r>
      <w:r w:rsidRPr="00AF457D">
        <w:rPr>
          <w:rFonts w:ascii="Times New Roman" w:hAnsi="Times New Roman"/>
          <w:sz w:val="28"/>
          <w:szCs w:val="28"/>
        </w:rPr>
        <w:tab/>
        <w:t>As despesas com pessoal referidas no art. Anterior serão comparadas, através de balancetes mensais, com o percentual da receita corrente, de modo a exercer o controle de sua compatibilidade.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7º -</w:t>
      </w:r>
      <w:r w:rsidRPr="00AF457D">
        <w:rPr>
          <w:rFonts w:ascii="Times New Roman" w:hAnsi="Times New Roman"/>
          <w:sz w:val="28"/>
          <w:szCs w:val="28"/>
        </w:rPr>
        <w:tab/>
        <w:t>A abertura de créditos suplementares ao orçamento depende da existência de recursos disponíveis e de prévia autorização legislativa.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  <w:t>§ 1º -</w:t>
      </w:r>
      <w:r w:rsidRPr="00AF457D">
        <w:rPr>
          <w:rFonts w:ascii="Times New Roman" w:hAnsi="Times New Roman"/>
          <w:sz w:val="28"/>
          <w:szCs w:val="28"/>
        </w:rPr>
        <w:tab/>
        <w:t>A autorização legislativa a que se refere o caput deste artigo, poderá ser dada através da própria lei orçamentária, sem limite percentual.</w:t>
      </w:r>
    </w:p>
    <w:p w:rsidR="007331A3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lastRenderedPageBreak/>
        <w:tab/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§ 2º -</w:t>
      </w:r>
      <w:r w:rsidRPr="00AF457D">
        <w:rPr>
          <w:rFonts w:ascii="Times New Roman" w:hAnsi="Times New Roman"/>
          <w:sz w:val="28"/>
          <w:szCs w:val="28"/>
        </w:rPr>
        <w:tab/>
        <w:t>Os recursos referidos no artigo são os provenientes de: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  <w:t>I – superávit financeiro apurado em balanço patrimonial do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  <w:t xml:space="preserve">     exercício anterior.</w:t>
      </w:r>
    </w:p>
    <w:p w:rsidR="004E08EB" w:rsidRPr="00AF457D" w:rsidRDefault="004E08EB" w:rsidP="004E08E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  <w:t xml:space="preserve">II – os provenientes de anulação parcial ou total, de dotações </w:t>
      </w:r>
    </w:p>
    <w:p w:rsidR="004E08EB" w:rsidRPr="00AF457D" w:rsidRDefault="004E08EB" w:rsidP="004E08E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  <w:t xml:space="preserve">       orçamentárias ou de créditos adicionais autorizados em lei.</w:t>
      </w:r>
    </w:p>
    <w:p w:rsidR="004E08EB" w:rsidRPr="00AF457D" w:rsidRDefault="004E08EB" w:rsidP="004E08E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  <w:t>III – o produto de operações de crédito autorizadas, em forma que</w:t>
      </w:r>
    </w:p>
    <w:p w:rsidR="004E08EB" w:rsidRPr="00AF457D" w:rsidRDefault="004E08EB" w:rsidP="004E08E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 xml:space="preserve">                 juridicamente possibilite ao poder executivo realiza-las.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8º -</w:t>
      </w:r>
      <w:r w:rsidRPr="00AF457D">
        <w:rPr>
          <w:rFonts w:ascii="Times New Roman" w:hAnsi="Times New Roman"/>
          <w:sz w:val="28"/>
          <w:szCs w:val="28"/>
        </w:rPr>
        <w:tab/>
        <w:t>Sempre que ocorrer excesso de arrecadação e, este, for acrescentado adicionalmente ao exercício, através da abertura de crédito suplementar, destinar-se-á à manutenção e desenvolvimento do ensino, parcela de vinte e cinco por cento, proporcional ao excesso de arrecadação utilizado.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9º -</w:t>
      </w:r>
      <w:r w:rsidRPr="00AF457D">
        <w:rPr>
          <w:rFonts w:ascii="Times New Roman" w:hAnsi="Times New Roman"/>
          <w:sz w:val="28"/>
          <w:szCs w:val="28"/>
        </w:rPr>
        <w:tab/>
        <w:t>Aos alunos do ensino fundamental obrigatório e gratuito da rede municipal, será garantido o fornecimento de material didático-escolar, transporte, suplementação alimentar e assistência à saúde.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  <w:t>§ 1º -</w:t>
      </w:r>
      <w:r w:rsidRPr="00AF457D">
        <w:rPr>
          <w:rFonts w:ascii="Times New Roman" w:hAnsi="Times New Roman"/>
          <w:sz w:val="28"/>
          <w:szCs w:val="28"/>
        </w:rPr>
        <w:tab/>
        <w:t>A garantia contida no artigo não exonera o município de assegurar estes direitos aos alunos da rede estadual de ensino, por meio de convênios celebrados com a Secretaria de Estado da Educação.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  <w:t>§ 2º -</w:t>
      </w:r>
      <w:r w:rsidRPr="00AF457D">
        <w:rPr>
          <w:rFonts w:ascii="Times New Roman" w:hAnsi="Times New Roman"/>
          <w:sz w:val="28"/>
          <w:szCs w:val="28"/>
        </w:rPr>
        <w:tab/>
        <w:t>A despesa com suplementação alimentar e a assistência à saúde referida no artigo, computar-se-á para satisfazer o percentual de vinte e cinco por cento, obrigatório no art. 212 da Constituição Federal.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10º -</w:t>
      </w:r>
      <w:r w:rsidRPr="00AF457D">
        <w:rPr>
          <w:rFonts w:ascii="Times New Roman" w:hAnsi="Times New Roman"/>
          <w:sz w:val="28"/>
          <w:szCs w:val="28"/>
        </w:rPr>
        <w:tab/>
        <w:t>Quando a rede oficial de ensino fundamental e médio for insuficiente para atender a demanda poderão ser concedidas bolsas de estudo para o atendimento pela rede particular de ensino.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§ Único -</w:t>
      </w:r>
      <w:r w:rsidRPr="00AF457D">
        <w:rPr>
          <w:rFonts w:ascii="Times New Roman" w:hAnsi="Times New Roman"/>
          <w:sz w:val="28"/>
          <w:szCs w:val="28"/>
        </w:rPr>
        <w:tab/>
        <w:t>Não havendo escola particular de ensino fundamental e médio no município, poderão ser concedidas bolsas de estudo para atendimento ao aluno em outro município.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11 -</w:t>
      </w:r>
      <w:r w:rsidRPr="00AF457D">
        <w:rPr>
          <w:rFonts w:ascii="Times New Roman" w:hAnsi="Times New Roman"/>
          <w:sz w:val="28"/>
          <w:szCs w:val="28"/>
        </w:rPr>
        <w:tab/>
        <w:t>A manutenção da bolsa de estudo é condicionada ao aproveitamento mínimo do aluno, estabelecido em lei.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 xml:space="preserve">Art. 12 - </w:t>
      </w:r>
      <w:r w:rsidRPr="00AF457D">
        <w:rPr>
          <w:rFonts w:ascii="Times New Roman" w:hAnsi="Times New Roman"/>
          <w:sz w:val="28"/>
          <w:szCs w:val="28"/>
        </w:rPr>
        <w:tab/>
        <w:t>Não serão concedidas subvenções sócias a entidades que não sejam reconhecidas como de utilidade pública e dedicada ao ensino e/ou a saúde.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§ Único -</w:t>
      </w:r>
      <w:r w:rsidRPr="00AF457D">
        <w:rPr>
          <w:rFonts w:ascii="Times New Roman" w:hAnsi="Times New Roman"/>
          <w:sz w:val="28"/>
          <w:szCs w:val="28"/>
        </w:rPr>
        <w:tab/>
        <w:t>Só se beneficiarão de concessões de subvenções sociais as entidades que não visem lucros e que não remunerem seus diretores.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7331A3" w:rsidRDefault="007331A3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13 -</w:t>
      </w:r>
      <w:r w:rsidRPr="00AF457D">
        <w:rPr>
          <w:rFonts w:ascii="Times New Roman" w:hAnsi="Times New Roman"/>
          <w:sz w:val="28"/>
          <w:szCs w:val="28"/>
        </w:rPr>
        <w:tab/>
        <w:t>A lei de orçamento garantirá recursos aos programas de saneamento básico e de preservação ambiental, visando a melhoria de qualidade de vida da população.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14 -</w:t>
      </w:r>
      <w:r w:rsidRPr="00AF457D">
        <w:rPr>
          <w:rFonts w:ascii="Times New Roman" w:hAnsi="Times New Roman"/>
          <w:sz w:val="28"/>
          <w:szCs w:val="28"/>
        </w:rPr>
        <w:tab/>
        <w:t>Os órgãos da administração descentralizada que receberem recursos do Tesouro Municipal, apresentarão seus orçamentos detalhados das necessidades, e acompanhados de memorial de cálculos que justifiquem os gastos, até 1º de agosto de 1990.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15 -</w:t>
      </w:r>
      <w:r w:rsidRPr="00AF457D">
        <w:rPr>
          <w:rFonts w:ascii="Times New Roman" w:hAnsi="Times New Roman"/>
          <w:sz w:val="28"/>
          <w:szCs w:val="28"/>
        </w:rPr>
        <w:tab/>
        <w:t>Só serão contraídas operações de crédito por antecipação de receitas, quando se configurar iminente falta de recursos que possa comprometer o pagamento da folha em tempo hábil.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  <w:t>§ 1º -</w:t>
      </w:r>
      <w:r w:rsidRPr="00AF457D">
        <w:rPr>
          <w:rFonts w:ascii="Times New Roman" w:hAnsi="Times New Roman"/>
          <w:sz w:val="28"/>
          <w:szCs w:val="28"/>
        </w:rPr>
        <w:tab/>
        <w:t>A contratação de operação de crédito para fim específico somente se concretizará se os recursos destinarem a programas de excepcional interesse público, observados os limites estabelecidos nos artigos 165, parágrafo 8 e 167, III da Constituição Federal.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  <w:t>§ 2º -</w:t>
      </w:r>
      <w:r w:rsidRPr="00AF457D">
        <w:rPr>
          <w:rFonts w:ascii="Times New Roman" w:hAnsi="Times New Roman"/>
          <w:sz w:val="28"/>
          <w:szCs w:val="28"/>
        </w:rPr>
        <w:tab/>
        <w:t>Em qualquer dos casos a operação de crédito depende de prévia autorização legislativa.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>Art. 16 -</w:t>
      </w:r>
      <w:r w:rsidRPr="00AF457D">
        <w:rPr>
          <w:rFonts w:ascii="Times New Roman" w:hAnsi="Times New Roman"/>
          <w:sz w:val="28"/>
          <w:szCs w:val="28"/>
        </w:rPr>
        <w:tab/>
        <w:t>As compras e contratações de obras e serviços somente poderão ser realizadas havendo disponibilidade orçamentária e precedidas do respectivo processo-licitatório, quando obrigatório, nos termos do Decreto-Lei 2.300, de 21 de novembro de 1986 e legislação posterior.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 xml:space="preserve">Art. 17 - </w:t>
      </w:r>
      <w:r w:rsidRPr="00AF457D">
        <w:rPr>
          <w:rFonts w:ascii="Times New Roman" w:hAnsi="Times New Roman"/>
          <w:sz w:val="28"/>
          <w:szCs w:val="28"/>
        </w:rPr>
        <w:tab/>
        <w:t>Esta Lei entra em vigor na data de sua publicação, revogadas as disposições em contrário.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  <w:t>Prefeitura Municipal de Lajinha-MG., 08 de agosto de 1990.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  <w:t>Gerson Araújo da Fonseca</w:t>
      </w:r>
    </w:p>
    <w:p w:rsidR="004E08EB" w:rsidRPr="00AF457D" w:rsidRDefault="004E08EB" w:rsidP="004E08EB">
      <w:pPr>
        <w:jc w:val="both"/>
        <w:rPr>
          <w:rFonts w:ascii="Times New Roman" w:hAnsi="Times New Roman"/>
          <w:sz w:val="28"/>
          <w:szCs w:val="28"/>
        </w:rPr>
      </w:pP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</w:r>
      <w:r w:rsidRPr="00AF457D">
        <w:rPr>
          <w:rFonts w:ascii="Times New Roman" w:hAnsi="Times New Roman"/>
          <w:sz w:val="28"/>
          <w:szCs w:val="28"/>
        </w:rPr>
        <w:tab/>
        <w:t xml:space="preserve">       Prefeito Municipal</w:t>
      </w:r>
    </w:p>
    <w:p w:rsidR="004D2EA1" w:rsidRPr="001F210C" w:rsidRDefault="004D2EA1">
      <w:pPr>
        <w:rPr>
          <w:rFonts w:ascii="Times New Roman" w:hAnsi="Times New Roman"/>
          <w:sz w:val="28"/>
          <w:szCs w:val="28"/>
        </w:rPr>
      </w:pPr>
    </w:p>
    <w:sectPr w:rsidR="004D2EA1" w:rsidRPr="001F210C" w:rsidSect="00602C69">
      <w:headerReference w:type="default" r:id="rId8"/>
      <w:footerReference w:type="default" r:id="rId9"/>
      <w:pgSz w:w="11906" w:h="16838"/>
      <w:pgMar w:top="1418" w:right="707" w:bottom="1135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BC3" w:rsidRDefault="003B3BC3" w:rsidP="00C201AD">
      <w:r>
        <w:separator/>
      </w:r>
    </w:p>
  </w:endnote>
  <w:endnote w:type="continuationSeparator" w:id="1">
    <w:p w:rsidR="003B3BC3" w:rsidRDefault="003B3BC3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8EB" w:rsidRDefault="004E08E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BC3" w:rsidRDefault="003B3BC3" w:rsidP="00C201AD">
      <w:r>
        <w:separator/>
      </w:r>
    </w:p>
  </w:footnote>
  <w:footnote w:type="continuationSeparator" w:id="1">
    <w:p w:rsidR="003B3BC3" w:rsidRDefault="003B3BC3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8EB" w:rsidRDefault="004E08E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998409" cy="965073"/>
          <wp:effectExtent l="19050" t="0" r="2591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00877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848E2"/>
    <w:multiLevelType w:val="hybridMultilevel"/>
    <w:tmpl w:val="D5C6B10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A96DBE"/>
    <w:multiLevelType w:val="hybridMultilevel"/>
    <w:tmpl w:val="4CCCA0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66C52"/>
    <w:multiLevelType w:val="hybridMultilevel"/>
    <w:tmpl w:val="8640E05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FB56EC"/>
    <w:multiLevelType w:val="hybridMultilevel"/>
    <w:tmpl w:val="A92EF51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11">
    <w:nsid w:val="320648E8"/>
    <w:multiLevelType w:val="hybridMultilevel"/>
    <w:tmpl w:val="DD2EC7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EEA5862"/>
    <w:multiLevelType w:val="hybridMultilevel"/>
    <w:tmpl w:val="08DE7B5A"/>
    <w:lvl w:ilvl="0" w:tplc="E6F034F6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F844FC"/>
    <w:multiLevelType w:val="hybridMultilevel"/>
    <w:tmpl w:val="E458C1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4C21892"/>
    <w:multiLevelType w:val="hybridMultilevel"/>
    <w:tmpl w:val="574A0A8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EECA7EC">
      <w:start w:val="1"/>
      <w:numFmt w:val="lowerLetter"/>
      <w:lvlText w:val="%2)"/>
      <w:lvlJc w:val="left"/>
      <w:pPr>
        <w:tabs>
          <w:tab w:val="num" w:pos="1800"/>
        </w:tabs>
        <w:ind w:left="1800" w:hanging="37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865FA0"/>
    <w:multiLevelType w:val="hybridMultilevel"/>
    <w:tmpl w:val="9BEC17F6"/>
    <w:lvl w:ilvl="0" w:tplc="4E3EFB98">
      <w:start w:val="1"/>
      <w:numFmt w:val="lowerLetter"/>
      <w:lvlText w:val="%1)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4E684021"/>
    <w:multiLevelType w:val="hybridMultilevel"/>
    <w:tmpl w:val="795635D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09C3F49"/>
    <w:multiLevelType w:val="hybridMultilevel"/>
    <w:tmpl w:val="CA98C72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E214AB"/>
    <w:multiLevelType w:val="hybridMultilevel"/>
    <w:tmpl w:val="2CD419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32D368D"/>
    <w:multiLevelType w:val="hybridMultilevel"/>
    <w:tmpl w:val="5F50D83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544059F5"/>
    <w:multiLevelType w:val="hybridMultilevel"/>
    <w:tmpl w:val="83B4F06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56A12B7A"/>
    <w:multiLevelType w:val="hybridMultilevel"/>
    <w:tmpl w:val="406820F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9950328"/>
    <w:multiLevelType w:val="hybridMultilevel"/>
    <w:tmpl w:val="A248533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B261203"/>
    <w:multiLevelType w:val="hybridMultilevel"/>
    <w:tmpl w:val="5E7290F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FF50CA6"/>
    <w:multiLevelType w:val="hybridMultilevel"/>
    <w:tmpl w:val="E74E4CC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61FC4ABC"/>
    <w:multiLevelType w:val="hybridMultilevel"/>
    <w:tmpl w:val="488237C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66A17B1D"/>
    <w:multiLevelType w:val="hybridMultilevel"/>
    <w:tmpl w:val="49A00B4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682B0344"/>
    <w:multiLevelType w:val="hybridMultilevel"/>
    <w:tmpl w:val="7CA4341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6965026D"/>
    <w:multiLevelType w:val="hybridMultilevel"/>
    <w:tmpl w:val="16D2B64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69FB2268"/>
    <w:multiLevelType w:val="hybridMultilevel"/>
    <w:tmpl w:val="2CF2B464"/>
    <w:lvl w:ilvl="0" w:tplc="B2E4758E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F240961"/>
    <w:multiLevelType w:val="hybridMultilevel"/>
    <w:tmpl w:val="A54CC80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4897658"/>
    <w:multiLevelType w:val="hybridMultilevel"/>
    <w:tmpl w:val="454004D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776C3846"/>
    <w:multiLevelType w:val="hybridMultilevel"/>
    <w:tmpl w:val="758619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7ABD7C04"/>
    <w:multiLevelType w:val="hybridMultilevel"/>
    <w:tmpl w:val="2FC2A052"/>
    <w:lvl w:ilvl="0" w:tplc="F9D4C64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6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EAA0DB0"/>
    <w:multiLevelType w:val="hybridMultilevel"/>
    <w:tmpl w:val="B214206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F5C43C3"/>
    <w:multiLevelType w:val="hybridMultilevel"/>
    <w:tmpl w:val="9F8AF37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36"/>
  </w:num>
  <w:num w:numId="6">
    <w:abstractNumId w:val="3"/>
  </w:num>
  <w:num w:numId="7">
    <w:abstractNumId w:val="3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4"/>
  </w:num>
  <w:num w:numId="11">
    <w:abstractNumId w:val="30"/>
  </w:num>
  <w:num w:numId="12">
    <w:abstractNumId w:val="37"/>
  </w:num>
  <w:num w:numId="13">
    <w:abstractNumId w:val="2"/>
  </w:num>
  <w:num w:numId="14">
    <w:abstractNumId w:val="34"/>
  </w:num>
  <w:num w:numId="15">
    <w:abstractNumId w:val="4"/>
  </w:num>
  <w:num w:numId="16">
    <w:abstractNumId w:val="22"/>
  </w:num>
  <w:num w:numId="17">
    <w:abstractNumId w:val="23"/>
  </w:num>
  <w:num w:numId="18">
    <w:abstractNumId w:val="29"/>
  </w:num>
  <w:num w:numId="19">
    <w:abstractNumId w:val="15"/>
  </w:num>
  <w:num w:numId="20">
    <w:abstractNumId w:val="12"/>
  </w:num>
  <w:num w:numId="21">
    <w:abstractNumId w:val="14"/>
  </w:num>
  <w:num w:numId="22">
    <w:abstractNumId w:val="19"/>
  </w:num>
  <w:num w:numId="23">
    <w:abstractNumId w:val="13"/>
  </w:num>
  <w:num w:numId="24">
    <w:abstractNumId w:val="33"/>
  </w:num>
  <w:num w:numId="25">
    <w:abstractNumId w:val="35"/>
  </w:num>
  <w:num w:numId="26">
    <w:abstractNumId w:val="38"/>
  </w:num>
  <w:num w:numId="27">
    <w:abstractNumId w:val="21"/>
  </w:num>
  <w:num w:numId="28">
    <w:abstractNumId w:val="31"/>
  </w:num>
  <w:num w:numId="29">
    <w:abstractNumId w:val="11"/>
  </w:num>
  <w:num w:numId="30">
    <w:abstractNumId w:val="20"/>
  </w:num>
  <w:num w:numId="31">
    <w:abstractNumId w:val="9"/>
  </w:num>
  <w:num w:numId="32">
    <w:abstractNumId w:val="26"/>
  </w:num>
  <w:num w:numId="33">
    <w:abstractNumId w:val="18"/>
  </w:num>
  <w:num w:numId="34">
    <w:abstractNumId w:val="5"/>
  </w:num>
  <w:num w:numId="35">
    <w:abstractNumId w:val="17"/>
  </w:num>
  <w:num w:numId="36">
    <w:abstractNumId w:val="16"/>
  </w:num>
  <w:num w:numId="37">
    <w:abstractNumId w:val="27"/>
  </w:num>
  <w:num w:numId="38">
    <w:abstractNumId w:val="25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210C"/>
    <w:rsid w:val="001F69CE"/>
    <w:rsid w:val="00265900"/>
    <w:rsid w:val="002753AC"/>
    <w:rsid w:val="002A0B97"/>
    <w:rsid w:val="002C58A6"/>
    <w:rsid w:val="002D18B2"/>
    <w:rsid w:val="002F2B71"/>
    <w:rsid w:val="00306181"/>
    <w:rsid w:val="00326031"/>
    <w:rsid w:val="00354C9F"/>
    <w:rsid w:val="003879AF"/>
    <w:rsid w:val="003B3BC3"/>
    <w:rsid w:val="003B6047"/>
    <w:rsid w:val="003C62C3"/>
    <w:rsid w:val="003E4E47"/>
    <w:rsid w:val="003F67F1"/>
    <w:rsid w:val="0040176A"/>
    <w:rsid w:val="00422681"/>
    <w:rsid w:val="004839B2"/>
    <w:rsid w:val="00490F9A"/>
    <w:rsid w:val="00494B11"/>
    <w:rsid w:val="004D1FE2"/>
    <w:rsid w:val="004D2EA1"/>
    <w:rsid w:val="004E08EB"/>
    <w:rsid w:val="004F2B09"/>
    <w:rsid w:val="005017FF"/>
    <w:rsid w:val="00506143"/>
    <w:rsid w:val="00511F13"/>
    <w:rsid w:val="00540935"/>
    <w:rsid w:val="005A2413"/>
    <w:rsid w:val="005C135C"/>
    <w:rsid w:val="005D51BD"/>
    <w:rsid w:val="005D79B7"/>
    <w:rsid w:val="005D7A9C"/>
    <w:rsid w:val="00602C69"/>
    <w:rsid w:val="0061065D"/>
    <w:rsid w:val="00613D82"/>
    <w:rsid w:val="006257EB"/>
    <w:rsid w:val="00643BFF"/>
    <w:rsid w:val="00682F09"/>
    <w:rsid w:val="0071180F"/>
    <w:rsid w:val="00722721"/>
    <w:rsid w:val="00724EB6"/>
    <w:rsid w:val="007331A3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3464"/>
    <w:rsid w:val="00944E74"/>
    <w:rsid w:val="00950D6C"/>
    <w:rsid w:val="0096792B"/>
    <w:rsid w:val="00972249"/>
    <w:rsid w:val="00974701"/>
    <w:rsid w:val="0098026B"/>
    <w:rsid w:val="009921BC"/>
    <w:rsid w:val="009B6310"/>
    <w:rsid w:val="009F5465"/>
    <w:rsid w:val="00A05A31"/>
    <w:rsid w:val="00A47B77"/>
    <w:rsid w:val="00AA7F3C"/>
    <w:rsid w:val="00AF0503"/>
    <w:rsid w:val="00AF2ECD"/>
    <w:rsid w:val="00AF3201"/>
    <w:rsid w:val="00AF457D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77335"/>
    <w:rsid w:val="00D97AD4"/>
    <w:rsid w:val="00DB6C20"/>
    <w:rsid w:val="00DE7709"/>
    <w:rsid w:val="00DF1A55"/>
    <w:rsid w:val="00E13D8A"/>
    <w:rsid w:val="00E1630B"/>
    <w:rsid w:val="00E20D3A"/>
    <w:rsid w:val="00E21875"/>
    <w:rsid w:val="00E407CC"/>
    <w:rsid w:val="00E518DE"/>
    <w:rsid w:val="00E70527"/>
    <w:rsid w:val="00E728C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1136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2018-06-05T13:19:00Z</dcterms:created>
  <dcterms:modified xsi:type="dcterms:W3CDTF">2018-06-11T13:46:00Z</dcterms:modified>
</cp:coreProperties>
</file>