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63805" w14:textId="0FD27ED9" w:rsidR="00AD384D" w:rsidRPr="00AD384D" w:rsidRDefault="00AD384D" w:rsidP="00AD384D">
      <w:r w:rsidRPr="00AD384D">
        <w:t>PAUTA DA 10ª SESSÃO ORDINÁRIA DA CÂMARA MUNICIPAL DE EQUADOR, REALIZADA NO DIA 26 DE MAIO DE 2022. COM OS SEGUINTES EXPEDIENTES: PROJETO DE LEI DO PODER EXECUTIVO MUNICIPAL, QUE DISPÕE SOBRE AUTORIZAÇÃO PARA ABERTURA DE CRÉDITO ESPECIAL AO ORÇAMENTO VIGENTE E ELABORAÇÃO E EXECUÇÃO DA LEI ORÇAMENTARIA DO MUNICIPIL E REQUERIMENTO QUE SOLICITOU SERVIÇO DE PAVIMENTAÇÃO, CONTRUÇÃO DE QUADRA E ILUMINAÇÃO DE CANTEIROS. PAUTA DA 11ª SESSÃO ORDINÁRIA DA CÂMARA MUNICIPAL D</w:t>
      </w:r>
      <w:r>
        <w:t>E EQUADOR</w:t>
      </w:r>
    </w:p>
    <w:sectPr w:rsidR="00AD384D" w:rsidRPr="00AD38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84D"/>
    <w:rsid w:val="008248F0"/>
    <w:rsid w:val="00AD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7BB6"/>
  <w15:chartTrackingRefBased/>
  <w15:docId w15:val="{476E18E1-7AF5-415A-B858-5ECCF9A0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403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2025-08-06T18:37:00Z</dcterms:created>
  <dcterms:modified xsi:type="dcterms:W3CDTF">2025-08-06T18:37:00Z</dcterms:modified>
</cp:coreProperties>
</file>