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4A4E8482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BD5873">
        <w:rPr>
          <w:rFonts w:ascii="Arial" w:hAnsi="Arial" w:cs="Arial"/>
          <w:b/>
          <w:bCs/>
          <w:sz w:val="24"/>
          <w:szCs w:val="24"/>
          <w:u w:val="single"/>
        </w:rPr>
        <w:t>29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37ED4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F161CB">
        <w:rPr>
          <w:rFonts w:ascii="Arial" w:hAnsi="Arial" w:cs="Arial"/>
          <w:b/>
          <w:bCs/>
          <w:sz w:val="24"/>
          <w:szCs w:val="24"/>
          <w:u w:val="single"/>
        </w:rPr>
        <w:t>30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F161CB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37ED4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42F108A9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BD5873">
        <w:rPr>
          <w:rFonts w:ascii="Arial" w:hAnsi="Arial" w:cs="Arial"/>
          <w:b/>
          <w:bCs/>
          <w:sz w:val="24"/>
          <w:szCs w:val="24"/>
        </w:rPr>
        <w:t>17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837ED4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C1F77DB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BD5873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>/202</w:t>
      </w:r>
      <w:r w:rsidR="00837ED4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BD5873">
        <w:rPr>
          <w:rFonts w:ascii="Arial" w:hAnsi="Arial" w:cs="Arial"/>
          <w:b/>
          <w:sz w:val="24"/>
          <w:szCs w:val="24"/>
        </w:rPr>
        <w:t>17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5873">
        <w:rPr>
          <w:rFonts w:ascii="Arial" w:hAnsi="Arial" w:cs="Arial"/>
          <w:b/>
          <w:sz w:val="24"/>
          <w:szCs w:val="24"/>
        </w:rPr>
        <w:t>abril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837ED4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E179361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BD5873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20FC7A66" w:rsidR="006F3680" w:rsidRDefault="006F3680" w:rsidP="00837ED4">
      <w:pPr>
        <w:pStyle w:val="NormalWeb"/>
        <w:spacing w:before="0" w:beforeAutospacing="0" w:after="0" w:afterAutospacing="0"/>
        <w:ind w:left="4962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BD5873" w:rsidRPr="00572216">
        <w:rPr>
          <w:rFonts w:ascii="Arial" w:hAnsi="Arial" w:cs="Arial"/>
          <w:bCs/>
          <w:sz w:val="23"/>
          <w:szCs w:val="23"/>
        </w:rPr>
        <w:t>“</w:t>
      </w:r>
      <w:r w:rsidR="00BD5873" w:rsidRPr="00572216">
        <w:rPr>
          <w:rFonts w:ascii="Arial" w:hAnsi="Arial" w:cs="Arial"/>
          <w:bCs/>
          <w:i/>
          <w:iCs/>
          <w:sz w:val="23"/>
          <w:szCs w:val="23"/>
        </w:rPr>
        <w:t>Altera a Lei nº 861, de 13 de dezembro de 2023 (PCCR da Câmara Municipal de Acrelândia/AC), para criar cargos, readequar os níveis DAS, ajustar a jornada de trabalho e alterar dispositivos da Lei nº 915, de 02 de julho de 2025, e dá outras providências”</w:t>
      </w:r>
      <w:r w:rsidR="00BD5873" w:rsidRPr="00572216">
        <w:rPr>
          <w:rFonts w:ascii="Arial" w:hAnsi="Arial" w:cs="Arial"/>
          <w:bCs/>
          <w:i/>
          <w:sz w:val="23"/>
          <w:szCs w:val="23"/>
        </w:rPr>
        <w:t>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1BC1D86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BD5873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34A40123" w14:textId="77777777" w:rsidR="00BD5873" w:rsidRDefault="006F3680" w:rsidP="00BD5873">
      <w:pPr>
        <w:spacing w:before="240" w:line="360" w:lineRule="auto"/>
        <w:ind w:right="-426"/>
        <w:jc w:val="both"/>
        <w:rPr>
          <w:rFonts w:ascii="Arial" w:hAnsi="Arial" w:cs="Arial"/>
        </w:rPr>
      </w:pPr>
      <w:r w:rsidRPr="00121497">
        <w:rPr>
          <w:rFonts w:ascii="Arial" w:hAnsi="Arial" w:cs="Arial"/>
          <w:sz w:val="24"/>
          <w:szCs w:val="24"/>
        </w:rPr>
        <w:tab/>
      </w:r>
      <w:r w:rsidR="00BD5873" w:rsidRPr="00BD5873">
        <w:rPr>
          <w:rFonts w:ascii="Arial" w:hAnsi="Arial" w:cs="Arial"/>
        </w:rPr>
        <w:t>A matéria em análise tramita nesta Casa Legislativa por iniciativa da Mesa Diretora, sob a forma de Projeto de Lei nº 12/2026, que visa promover alterações na estrutura administrativa do Poder Legislativo Municipal, com criação de cargos, readequação de níveis remuneratórios, ajuste de jornada de trabalho e modificações em dispositivos legais vigentes.</w:t>
      </w:r>
    </w:p>
    <w:p w14:paraId="1E41A050" w14:textId="77777777" w:rsidR="00BD5873" w:rsidRDefault="00BD5873" w:rsidP="00BD587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D5873">
        <w:rPr>
          <w:rFonts w:ascii="Arial" w:hAnsi="Arial" w:cs="Arial"/>
          <w:sz w:val="24"/>
          <w:szCs w:val="24"/>
        </w:rPr>
        <w:t xml:space="preserve">O Projeto encontra-se instruído com </w:t>
      </w:r>
      <w:r w:rsidRPr="00BD5873">
        <w:rPr>
          <w:rFonts w:ascii="Arial" w:hAnsi="Arial" w:cs="Arial"/>
          <w:b/>
          <w:bCs/>
          <w:sz w:val="24"/>
          <w:szCs w:val="24"/>
        </w:rPr>
        <w:t>estudo de impacto financeiro-orçamentário</w:t>
      </w:r>
      <w:r w:rsidRPr="00BD5873">
        <w:rPr>
          <w:rFonts w:ascii="Arial" w:hAnsi="Arial" w:cs="Arial"/>
          <w:sz w:val="24"/>
          <w:szCs w:val="24"/>
        </w:rPr>
        <w:t xml:space="preserve">, bem como </w:t>
      </w:r>
      <w:r w:rsidRPr="00BD5873">
        <w:rPr>
          <w:rFonts w:ascii="Arial" w:hAnsi="Arial" w:cs="Arial"/>
          <w:b/>
          <w:bCs/>
          <w:sz w:val="24"/>
          <w:szCs w:val="24"/>
        </w:rPr>
        <w:t>declaração do ordenador de despesas</w:t>
      </w:r>
      <w:r w:rsidRPr="00BD5873">
        <w:rPr>
          <w:rFonts w:ascii="Arial" w:hAnsi="Arial" w:cs="Arial"/>
          <w:sz w:val="24"/>
          <w:szCs w:val="24"/>
        </w:rPr>
        <w:t>, atendendo às exigências da Lei de Responsabilidade Fiscal, especialmente quanto à geração de despesas obrigatórias de caráter continuado.</w:t>
      </w:r>
    </w:p>
    <w:p w14:paraId="3039DF5E" w14:textId="45991EDB" w:rsidR="00BD5873" w:rsidRPr="00BD5873" w:rsidRDefault="00BD5873" w:rsidP="00BD587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D5873">
        <w:rPr>
          <w:rFonts w:ascii="Arial" w:hAnsi="Arial" w:cs="Arial"/>
          <w:sz w:val="24"/>
          <w:szCs w:val="24"/>
        </w:rPr>
        <w:t>Observa-se que as despesas decorrentes da execução da Lei correrão por conta de dotações orçamentárias próprias, havendo previsão de suplementação, se necessário, não comprometendo o equilíbrio das contas públicas.</w:t>
      </w:r>
    </w:p>
    <w:p w14:paraId="373AEEF1" w14:textId="77777777" w:rsidR="00BD5873" w:rsidRPr="00BD5873" w:rsidRDefault="00BD5873" w:rsidP="00BD587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D5873">
        <w:rPr>
          <w:rFonts w:ascii="Arial" w:hAnsi="Arial" w:cs="Arial"/>
          <w:sz w:val="24"/>
          <w:szCs w:val="24"/>
        </w:rPr>
        <w:t>Nos termos do Regimento Interno, compete a esta Comissão manifestar-se quanto aos aspectos financeiros e orçamentários da proposição.</w:t>
      </w:r>
    </w:p>
    <w:p w14:paraId="175B8C93" w14:textId="6AED6C90" w:rsidR="006F3680" w:rsidRDefault="006F3680" w:rsidP="00BD5873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3A384CA4" w:rsidR="006F3680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D5873" w:rsidRPr="00BD5873">
        <w:rPr>
          <w:rFonts w:ascii="Arial" w:hAnsi="Arial" w:cs="Arial"/>
          <w:sz w:val="24"/>
          <w:szCs w:val="24"/>
        </w:rPr>
        <w:t>Compete à Comissão de Finanças e Orçamento analisar a adequação orçamentária e financeira das proposições, nos termos do inciso V do art. 54 do Regimento Interno.</w:t>
      </w:r>
    </w:p>
    <w:p w14:paraId="032C2904" w14:textId="6A042996" w:rsidR="00BD5873" w:rsidRDefault="00BD5873" w:rsidP="00AB6975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D5873">
        <w:rPr>
          <w:rFonts w:ascii="Arial" w:hAnsi="Arial" w:cs="Arial"/>
          <w:sz w:val="24"/>
          <w:szCs w:val="24"/>
        </w:rPr>
        <w:t>Nos termos da Lei Orgânica Municipal: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5C2B6811" w14:textId="77777777" w:rsidR="00AB6975" w:rsidRPr="00AB6975" w:rsidRDefault="00BD5873" w:rsidP="00AB6975">
      <w:pPr>
        <w:tabs>
          <w:tab w:val="left" w:pos="360"/>
        </w:tabs>
        <w:spacing w:line="360" w:lineRule="auto"/>
        <w:ind w:left="4253" w:right="-426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AB6975">
        <w:rPr>
          <w:rFonts w:ascii="Arial" w:hAnsi="Arial" w:cs="Arial"/>
          <w:b/>
          <w:i/>
          <w:iCs/>
          <w:sz w:val="20"/>
          <w:szCs w:val="20"/>
        </w:rPr>
        <w:t xml:space="preserve">Art. 22/LO – </w:t>
      </w:r>
      <w:r w:rsidRPr="00AB6975">
        <w:rPr>
          <w:rFonts w:ascii="Arial" w:hAnsi="Arial" w:cs="Arial"/>
          <w:bCs/>
          <w:i/>
          <w:iCs/>
          <w:sz w:val="20"/>
          <w:szCs w:val="20"/>
        </w:rPr>
        <w:t>Compete à Câmara Municipal dispor sobre matérias de interesse do Município, especialmente:</w:t>
      </w:r>
    </w:p>
    <w:p w14:paraId="5D24DFAF" w14:textId="77777777" w:rsidR="00AB6975" w:rsidRPr="00AB6975" w:rsidRDefault="00BD5873" w:rsidP="00AB6975">
      <w:pPr>
        <w:tabs>
          <w:tab w:val="left" w:pos="360"/>
        </w:tabs>
        <w:spacing w:line="360" w:lineRule="auto"/>
        <w:ind w:left="4253" w:right="-426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AB6975">
        <w:rPr>
          <w:rFonts w:ascii="Arial" w:hAnsi="Arial" w:cs="Arial"/>
          <w:b/>
          <w:i/>
          <w:iCs/>
          <w:sz w:val="20"/>
          <w:szCs w:val="20"/>
        </w:rPr>
        <w:t xml:space="preserve">V – </w:t>
      </w:r>
      <w:proofErr w:type="gramStart"/>
      <w:r w:rsidRPr="00AB6975">
        <w:rPr>
          <w:rFonts w:ascii="Arial" w:hAnsi="Arial" w:cs="Arial"/>
          <w:bCs/>
          <w:i/>
          <w:iCs/>
          <w:sz w:val="20"/>
          <w:szCs w:val="20"/>
        </w:rPr>
        <w:t>organização</w:t>
      </w:r>
      <w:proofErr w:type="gramEnd"/>
      <w:r w:rsidRPr="00AB6975">
        <w:rPr>
          <w:rFonts w:ascii="Arial" w:hAnsi="Arial" w:cs="Arial"/>
          <w:bCs/>
          <w:i/>
          <w:iCs/>
          <w:sz w:val="20"/>
          <w:szCs w:val="20"/>
        </w:rPr>
        <w:t xml:space="preserve"> administrativa;</w:t>
      </w:r>
    </w:p>
    <w:p w14:paraId="6BC4200A" w14:textId="3AAEC0BD" w:rsidR="006F3680" w:rsidRPr="00AB6975" w:rsidRDefault="00BD5873" w:rsidP="00AB6975">
      <w:pPr>
        <w:tabs>
          <w:tab w:val="left" w:pos="360"/>
        </w:tabs>
        <w:spacing w:line="360" w:lineRule="auto"/>
        <w:ind w:left="4253" w:right="-426"/>
        <w:jc w:val="both"/>
        <w:rPr>
          <w:rFonts w:ascii="Arial" w:hAnsi="Arial" w:cs="Arial"/>
          <w:i/>
          <w:iCs/>
          <w:sz w:val="20"/>
          <w:szCs w:val="20"/>
        </w:rPr>
      </w:pPr>
      <w:r w:rsidRPr="00AB6975">
        <w:rPr>
          <w:rFonts w:ascii="Arial" w:hAnsi="Arial" w:cs="Arial"/>
          <w:b/>
          <w:i/>
          <w:iCs/>
          <w:sz w:val="20"/>
          <w:szCs w:val="20"/>
        </w:rPr>
        <w:t xml:space="preserve">VI – </w:t>
      </w:r>
      <w:r w:rsidRPr="00AB6975">
        <w:rPr>
          <w:rFonts w:ascii="Arial" w:hAnsi="Arial" w:cs="Arial"/>
          <w:bCs/>
          <w:i/>
          <w:iCs/>
          <w:sz w:val="20"/>
          <w:szCs w:val="20"/>
        </w:rPr>
        <w:t>criação e alteração de cargos públicos.</w:t>
      </w:r>
    </w:p>
    <w:p w14:paraId="25265EE8" w14:textId="6A7C8727" w:rsidR="006F3680" w:rsidRPr="00AD700A" w:rsidRDefault="006F3680" w:rsidP="00AB6975">
      <w:pPr>
        <w:spacing w:line="360" w:lineRule="auto"/>
        <w:ind w:left="4253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B6975">
        <w:rPr>
          <w:rFonts w:ascii="Arial" w:hAnsi="Arial" w:cs="Arial"/>
          <w:b/>
          <w:i/>
          <w:iCs/>
          <w:sz w:val="20"/>
          <w:szCs w:val="20"/>
        </w:rPr>
        <w:t>Art. 24/LO.</w:t>
      </w:r>
      <w:r w:rsidRPr="00AB6975">
        <w:rPr>
          <w:rFonts w:ascii="Arial" w:hAnsi="Arial" w:cs="Arial"/>
          <w:i/>
          <w:iCs/>
          <w:sz w:val="20"/>
          <w:szCs w:val="20"/>
        </w:rPr>
        <w:t xml:space="preserve"> </w:t>
      </w:r>
      <w:r w:rsidR="00AB6975" w:rsidRPr="00AB6975">
        <w:rPr>
          <w:rFonts w:ascii="Arial" w:hAnsi="Arial" w:cs="Arial"/>
          <w:i/>
          <w:iCs/>
          <w:sz w:val="20"/>
          <w:szCs w:val="20"/>
        </w:rPr>
        <w:t>As Comissões permanentes têm competência para discutir e votar parecer sobre projetos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310A515" w14:textId="3EC92F51" w:rsidR="00AB6975" w:rsidRDefault="00AB6975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B6975">
        <w:rPr>
          <w:rFonts w:ascii="Arial" w:hAnsi="Arial" w:cs="Arial"/>
          <w:sz w:val="24"/>
          <w:szCs w:val="24"/>
        </w:rPr>
        <w:t>No que tange ao aspecto financeiro, verifica-se que o Projeto atende aos requisitos da legislação vigente, especialmente à Lei Complementar nº 101/2000 (Lei de Responsabilidade Fiscal), haja vista que:</w:t>
      </w:r>
    </w:p>
    <w:p w14:paraId="55788881" w14:textId="7399E21B" w:rsidR="00AB6975" w:rsidRPr="00AB6975" w:rsidRDefault="00AB6975" w:rsidP="00AB6975">
      <w:pPr>
        <w:pStyle w:val="PargrafodaLista"/>
        <w:numPr>
          <w:ilvl w:val="0"/>
          <w:numId w:val="2"/>
        </w:numPr>
        <w:spacing w:line="360" w:lineRule="auto"/>
        <w:ind w:left="1418" w:right="-426"/>
        <w:jc w:val="both"/>
        <w:rPr>
          <w:rFonts w:ascii="Arial" w:hAnsi="Arial" w:cs="Arial"/>
          <w:sz w:val="24"/>
          <w:szCs w:val="24"/>
        </w:rPr>
      </w:pPr>
      <w:r w:rsidRPr="00AB6975">
        <w:rPr>
          <w:rFonts w:ascii="Arial" w:hAnsi="Arial" w:cs="Arial"/>
          <w:sz w:val="24"/>
          <w:szCs w:val="24"/>
        </w:rPr>
        <w:t xml:space="preserve">há previsão de impacto financeiro; </w:t>
      </w:r>
    </w:p>
    <w:p w14:paraId="0C1999A1" w14:textId="368DA904" w:rsidR="00AB6975" w:rsidRPr="00AB6975" w:rsidRDefault="00AB6975" w:rsidP="00AB6975">
      <w:pPr>
        <w:pStyle w:val="PargrafodaLista"/>
        <w:numPr>
          <w:ilvl w:val="0"/>
          <w:numId w:val="2"/>
        </w:numPr>
        <w:spacing w:line="360" w:lineRule="auto"/>
        <w:ind w:left="1418" w:right="-426"/>
        <w:jc w:val="both"/>
        <w:rPr>
          <w:rFonts w:ascii="Arial" w:hAnsi="Arial" w:cs="Arial"/>
          <w:sz w:val="24"/>
          <w:szCs w:val="24"/>
        </w:rPr>
      </w:pPr>
      <w:r w:rsidRPr="00AB6975">
        <w:rPr>
          <w:rFonts w:ascii="Arial" w:hAnsi="Arial" w:cs="Arial"/>
          <w:sz w:val="24"/>
          <w:szCs w:val="24"/>
        </w:rPr>
        <w:t xml:space="preserve">existe declaração de adequação orçamentária; </w:t>
      </w:r>
    </w:p>
    <w:p w14:paraId="4D276405" w14:textId="4309F793" w:rsidR="00AB6975" w:rsidRPr="00AB6975" w:rsidRDefault="00AB6975" w:rsidP="00AB6975">
      <w:pPr>
        <w:pStyle w:val="PargrafodaLista"/>
        <w:numPr>
          <w:ilvl w:val="0"/>
          <w:numId w:val="2"/>
        </w:numPr>
        <w:spacing w:line="360" w:lineRule="auto"/>
        <w:ind w:left="1418" w:right="-426"/>
        <w:jc w:val="both"/>
        <w:rPr>
          <w:rFonts w:ascii="Arial" w:hAnsi="Arial" w:cs="Arial"/>
          <w:sz w:val="24"/>
          <w:szCs w:val="24"/>
        </w:rPr>
      </w:pPr>
      <w:r w:rsidRPr="00AB6975">
        <w:rPr>
          <w:rFonts w:ascii="Arial" w:hAnsi="Arial" w:cs="Arial"/>
          <w:sz w:val="24"/>
          <w:szCs w:val="24"/>
        </w:rPr>
        <w:t xml:space="preserve">as despesas possuem lastro em dotações próprias; </w:t>
      </w:r>
    </w:p>
    <w:p w14:paraId="4EBE18C6" w14:textId="0C5EFD45" w:rsidR="00AB6975" w:rsidRPr="00AB6975" w:rsidRDefault="00AB6975" w:rsidP="00AB6975">
      <w:pPr>
        <w:pStyle w:val="PargrafodaLista"/>
        <w:numPr>
          <w:ilvl w:val="0"/>
          <w:numId w:val="2"/>
        </w:numPr>
        <w:spacing w:line="360" w:lineRule="auto"/>
        <w:ind w:left="1418" w:right="-426"/>
        <w:jc w:val="both"/>
        <w:rPr>
          <w:rFonts w:ascii="Arial" w:hAnsi="Arial" w:cs="Arial"/>
          <w:sz w:val="24"/>
          <w:szCs w:val="24"/>
        </w:rPr>
      </w:pPr>
      <w:r w:rsidRPr="00AB6975">
        <w:rPr>
          <w:rFonts w:ascii="Arial" w:hAnsi="Arial" w:cs="Arial"/>
          <w:sz w:val="24"/>
          <w:szCs w:val="24"/>
        </w:rPr>
        <w:t>não há indícios de comprometimento do equilíbrio fiscal.</w:t>
      </w:r>
    </w:p>
    <w:p w14:paraId="0F18D589" w14:textId="77777777" w:rsidR="00AB6975" w:rsidRDefault="00AB6975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F1ADC82" w14:textId="0AE505B6" w:rsidR="00AB6975" w:rsidRDefault="00AB6975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B6975">
        <w:rPr>
          <w:rFonts w:ascii="Arial" w:hAnsi="Arial" w:cs="Arial"/>
          <w:sz w:val="24"/>
          <w:szCs w:val="24"/>
        </w:rPr>
        <w:t>Dessa forma, não se vislumbra óbice de natureza orçamentária ou financeira à tramitação da matéria.</w:t>
      </w:r>
    </w:p>
    <w:p w14:paraId="2B620D27" w14:textId="77777777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36AC8802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EF20E8B" w14:textId="77777777" w:rsidR="00D63F16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492AF7ED" w14:textId="184C7C73" w:rsidR="006F3680" w:rsidRDefault="00AB6975" w:rsidP="00D63F16">
      <w:pPr>
        <w:tabs>
          <w:tab w:val="left" w:pos="709"/>
          <w:tab w:val="left" w:pos="851"/>
          <w:tab w:val="left" w:pos="3119"/>
        </w:tabs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B6975">
        <w:rPr>
          <w:rFonts w:ascii="Arial" w:hAnsi="Arial" w:cs="Arial"/>
          <w:sz w:val="24"/>
          <w:szCs w:val="24"/>
        </w:rPr>
        <w:t xml:space="preserve">Ante o exposto, a Comissão de Finanças e Orçamento opinou, </w:t>
      </w:r>
      <w:r w:rsidRPr="00AB6975">
        <w:rPr>
          <w:rFonts w:ascii="Arial" w:hAnsi="Arial" w:cs="Arial"/>
          <w:b/>
          <w:bCs/>
          <w:sz w:val="24"/>
          <w:szCs w:val="24"/>
        </w:rPr>
        <w:t>por unanimidade</w:t>
      </w:r>
      <w:r w:rsidRPr="00AB6975">
        <w:rPr>
          <w:rFonts w:ascii="Arial" w:hAnsi="Arial" w:cs="Arial"/>
          <w:sz w:val="24"/>
          <w:szCs w:val="24"/>
        </w:rPr>
        <w:t xml:space="preserve">, pela </w:t>
      </w:r>
      <w:r w:rsidRPr="00AB6975">
        <w:rPr>
          <w:rFonts w:ascii="Arial" w:hAnsi="Arial" w:cs="Arial"/>
          <w:b/>
          <w:bCs/>
          <w:sz w:val="24"/>
          <w:szCs w:val="24"/>
        </w:rPr>
        <w:t>regularidade financeira e orçamentária</w:t>
      </w:r>
      <w:r w:rsidRPr="00AB6975">
        <w:rPr>
          <w:rFonts w:ascii="Arial" w:hAnsi="Arial" w:cs="Arial"/>
          <w:sz w:val="24"/>
          <w:szCs w:val="24"/>
        </w:rPr>
        <w:t xml:space="preserve"> do Projeto de Lei nº 12/2026, e, no mérito, pela </w:t>
      </w:r>
      <w:r w:rsidRPr="00AB6975">
        <w:rPr>
          <w:rFonts w:ascii="Arial" w:hAnsi="Arial" w:cs="Arial"/>
          <w:b/>
          <w:bCs/>
          <w:sz w:val="24"/>
          <w:szCs w:val="24"/>
        </w:rPr>
        <w:t>continuidade de sua tramitação</w:t>
      </w:r>
      <w:r w:rsidRPr="00AB6975">
        <w:rPr>
          <w:rFonts w:ascii="Arial" w:hAnsi="Arial" w:cs="Arial"/>
          <w:sz w:val="24"/>
          <w:szCs w:val="24"/>
        </w:rPr>
        <w:t>.</w:t>
      </w:r>
      <w:r w:rsidR="00837ED4">
        <w:rPr>
          <w:rFonts w:ascii="Arial" w:hAnsi="Arial" w:cs="Arial"/>
          <w:sz w:val="24"/>
          <w:szCs w:val="24"/>
        </w:rPr>
        <w:t xml:space="preserve"> 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20C7C889" w14:textId="77777777" w:rsidR="00AB6975" w:rsidRDefault="00AB69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B6B5728" w14:textId="77777777" w:rsidR="00AB6975" w:rsidRDefault="00AB69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E28DB0B" w14:textId="2B64F72E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lastRenderedPageBreak/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C31EDAD" w14:textId="77777777" w:rsidR="00AB6975" w:rsidRPr="00AB6975" w:rsidRDefault="00AB6975" w:rsidP="00AB6975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B6975">
        <w:rPr>
          <w:rFonts w:ascii="Arial" w:hAnsi="Arial" w:cs="Arial"/>
          <w:sz w:val="24"/>
          <w:szCs w:val="24"/>
        </w:rPr>
        <w:t xml:space="preserve">Diante dos fundamentos legais e da análise técnica realizada, esta Comissão manifesta-se </w:t>
      </w:r>
      <w:r w:rsidRPr="00AB6975">
        <w:rPr>
          <w:rFonts w:ascii="Arial" w:hAnsi="Arial" w:cs="Arial"/>
          <w:b/>
          <w:bCs/>
          <w:sz w:val="24"/>
          <w:szCs w:val="24"/>
        </w:rPr>
        <w:t>favoravelmente à tramitação e aprovação</w:t>
      </w:r>
      <w:r w:rsidRPr="00AB6975">
        <w:rPr>
          <w:rFonts w:ascii="Arial" w:hAnsi="Arial" w:cs="Arial"/>
          <w:sz w:val="24"/>
          <w:szCs w:val="24"/>
        </w:rPr>
        <w:t xml:space="preserve"> do Projeto de Lei nº 12/2026.</w:t>
      </w:r>
    </w:p>
    <w:p w14:paraId="3277DD71" w14:textId="77777777" w:rsidR="00AB6975" w:rsidRPr="00AB6975" w:rsidRDefault="00AB6975" w:rsidP="00AB6975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B6975">
        <w:rPr>
          <w:rFonts w:ascii="Arial" w:hAnsi="Arial" w:cs="Arial"/>
          <w:sz w:val="24"/>
          <w:szCs w:val="24"/>
        </w:rPr>
        <w:t>Encaminhe-se ao Plenário para apreciação e votação.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FED123B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F161CB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de </w:t>
      </w:r>
      <w:r w:rsidR="00F161CB">
        <w:rPr>
          <w:rFonts w:ascii="Arial" w:hAnsi="Arial" w:cs="Arial"/>
          <w:sz w:val="24"/>
          <w:szCs w:val="24"/>
        </w:rPr>
        <w:t>abril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837ED4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7B805D0" w14:textId="77777777" w:rsidR="00D63F16" w:rsidRDefault="00D63F16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14CAEF25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Ver</w:t>
      </w:r>
      <w:r w:rsidR="00AB6975">
        <w:rPr>
          <w:rFonts w:ascii="Arial" w:hAnsi="Arial" w:cs="Arial"/>
          <w:b/>
        </w:rPr>
        <w:t>ª</w:t>
      </w:r>
      <w:r w:rsidRPr="004628DB">
        <w:rPr>
          <w:rFonts w:ascii="Arial" w:hAnsi="Arial" w:cs="Arial"/>
          <w:b/>
        </w:rPr>
        <w:t xml:space="preserve">. </w:t>
      </w:r>
      <w:r w:rsidR="00D63F16">
        <w:rPr>
          <w:rFonts w:ascii="Arial" w:hAnsi="Arial" w:cs="Arial"/>
          <w:b/>
        </w:rPr>
        <w:t>Rosangela Silva dos Santos</w:t>
      </w:r>
      <w:r>
        <w:rPr>
          <w:rFonts w:ascii="Arial" w:hAnsi="Arial" w:cs="Arial"/>
          <w:b/>
        </w:rPr>
        <w:t>/U</w:t>
      </w:r>
      <w:r w:rsidR="00D63F16">
        <w:rPr>
          <w:rFonts w:ascii="Arial" w:hAnsi="Arial" w:cs="Arial"/>
          <w:b/>
        </w:rPr>
        <w:t>B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7724421B" w14:textId="77777777" w:rsidR="00837ED4" w:rsidRDefault="00837ED4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06A5ADED" w14:textId="77777777" w:rsidR="00837ED4" w:rsidRDefault="00837ED4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0200341" w14:textId="77777777" w:rsidR="00837ED4" w:rsidRDefault="00837ED4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1D6B86A3" w:rsidR="007A4DBB" w:rsidRPr="004628DB" w:rsidRDefault="007A4DBB" w:rsidP="00837ED4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</w:t>
      </w:r>
      <w:r w:rsidR="00AB6975">
        <w:rPr>
          <w:rFonts w:ascii="Arial" w:hAnsi="Arial" w:cs="Arial"/>
          <w:b/>
        </w:rPr>
        <w:t>___________________________________</w:t>
      </w:r>
      <w:r w:rsidRPr="004628DB">
        <w:rPr>
          <w:rFonts w:ascii="Arial" w:hAnsi="Arial" w:cs="Arial"/>
          <w:b/>
        </w:rPr>
        <w:t>_______________________</w:t>
      </w:r>
    </w:p>
    <w:p w14:paraId="38FC81BF" w14:textId="75704390" w:rsidR="007A4DBB" w:rsidRPr="00912D6A" w:rsidRDefault="007A4DBB" w:rsidP="00837ED4">
      <w:pPr>
        <w:ind w:right="-426"/>
        <w:jc w:val="center"/>
        <w:rPr>
          <w:rFonts w:ascii="Arial" w:hAnsi="Arial" w:cs="Arial"/>
          <w:b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Salmentes Galvão/P</w:t>
      </w:r>
      <w:r w:rsidR="00D67D98">
        <w:rPr>
          <w:rFonts w:ascii="Arial" w:hAnsi="Arial" w:cs="Arial"/>
          <w:b/>
        </w:rPr>
        <w:t>R</w:t>
      </w:r>
    </w:p>
    <w:p w14:paraId="00A5CCB2" w14:textId="28E59F80" w:rsidR="00A06587" w:rsidRDefault="007A4DBB" w:rsidP="00837ED4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Relator</w:t>
      </w:r>
    </w:p>
    <w:p w14:paraId="7506E204" w14:textId="77777777" w:rsidR="00AB6975" w:rsidRDefault="00AB6975" w:rsidP="00837ED4">
      <w:pPr>
        <w:ind w:right="-426"/>
        <w:jc w:val="center"/>
        <w:rPr>
          <w:rFonts w:ascii="Arial" w:hAnsi="Arial" w:cs="Arial"/>
          <w:b/>
        </w:rPr>
      </w:pPr>
    </w:p>
    <w:p w14:paraId="06E33ED1" w14:textId="77777777" w:rsidR="00AB6975" w:rsidRDefault="00AB6975" w:rsidP="00837ED4">
      <w:pPr>
        <w:ind w:right="-426"/>
        <w:jc w:val="center"/>
        <w:rPr>
          <w:rFonts w:ascii="Arial" w:hAnsi="Arial" w:cs="Arial"/>
          <w:b/>
        </w:rPr>
      </w:pPr>
    </w:p>
    <w:p w14:paraId="72855A87" w14:textId="77777777" w:rsidR="00AB6975" w:rsidRDefault="00AB6975" w:rsidP="00837ED4">
      <w:pPr>
        <w:ind w:right="-426"/>
        <w:jc w:val="center"/>
        <w:rPr>
          <w:rFonts w:ascii="Arial" w:hAnsi="Arial" w:cs="Arial"/>
          <w:b/>
        </w:rPr>
      </w:pPr>
    </w:p>
    <w:p w14:paraId="656FE554" w14:textId="77777777" w:rsidR="00AB6975" w:rsidRDefault="00AB6975" w:rsidP="00837ED4">
      <w:pPr>
        <w:ind w:right="-426"/>
        <w:jc w:val="center"/>
        <w:rPr>
          <w:rFonts w:ascii="Arial" w:hAnsi="Arial" w:cs="Arial"/>
          <w:b/>
        </w:rPr>
      </w:pPr>
    </w:p>
    <w:p w14:paraId="59006828" w14:textId="77777777" w:rsidR="00AB6975" w:rsidRPr="004628DB" w:rsidRDefault="00AB6975" w:rsidP="00AB6975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_________________________________</w:t>
      </w:r>
    </w:p>
    <w:p w14:paraId="7FA8BAD1" w14:textId="473766F9" w:rsidR="00AB6975" w:rsidRPr="00912D6A" w:rsidRDefault="00AB6975" w:rsidP="00AB6975">
      <w:pPr>
        <w:ind w:right="-426"/>
        <w:jc w:val="center"/>
        <w:rPr>
          <w:rFonts w:ascii="Arial" w:hAnsi="Arial" w:cs="Arial"/>
          <w:b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Jerson Mota Correa/PDT</w:t>
      </w:r>
    </w:p>
    <w:p w14:paraId="59D4EFCD" w14:textId="73797002" w:rsidR="00AB6975" w:rsidRPr="006F3680" w:rsidRDefault="00AB6975" w:rsidP="00AB6975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AB6975" w:rsidRPr="006F3680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35830" w14:textId="77777777" w:rsidR="00551F82" w:rsidRDefault="00551F82" w:rsidP="008B1D5A">
      <w:r>
        <w:separator/>
      </w:r>
    </w:p>
  </w:endnote>
  <w:endnote w:type="continuationSeparator" w:id="0">
    <w:p w14:paraId="1B86365E" w14:textId="77777777" w:rsidR="00551F82" w:rsidRDefault="00551F82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2F299BB5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D63F16">
      <w:rPr>
        <w:rFonts w:ascii="Agency FB" w:hAnsi="Agency FB" w:cs="Arial"/>
      </w:rPr>
      <w:t>enida Gov. Edmundo Pinto.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63F16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63F16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175BA" w14:textId="77777777" w:rsidR="00551F82" w:rsidRDefault="00551F82" w:rsidP="008B1D5A">
      <w:r>
        <w:separator/>
      </w:r>
    </w:p>
  </w:footnote>
  <w:footnote w:type="continuationSeparator" w:id="0">
    <w:p w14:paraId="241FE84C" w14:textId="77777777" w:rsidR="00551F82" w:rsidRDefault="00551F82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81E47"/>
    <w:multiLevelType w:val="multilevel"/>
    <w:tmpl w:val="9AB4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C42918"/>
    <w:multiLevelType w:val="hybridMultilevel"/>
    <w:tmpl w:val="82768D0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951473004">
    <w:abstractNumId w:val="0"/>
  </w:num>
  <w:num w:numId="2" w16cid:durableId="629942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143907"/>
    <w:rsid w:val="00184DA5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51F82"/>
    <w:rsid w:val="0056061F"/>
    <w:rsid w:val="00590367"/>
    <w:rsid w:val="005B6EB6"/>
    <w:rsid w:val="005D48AB"/>
    <w:rsid w:val="00607825"/>
    <w:rsid w:val="00611DAE"/>
    <w:rsid w:val="00620C24"/>
    <w:rsid w:val="00631604"/>
    <w:rsid w:val="00637067"/>
    <w:rsid w:val="0066408D"/>
    <w:rsid w:val="006C5E00"/>
    <w:rsid w:val="006D5E68"/>
    <w:rsid w:val="006E0A10"/>
    <w:rsid w:val="006F3680"/>
    <w:rsid w:val="006F5697"/>
    <w:rsid w:val="00753FBB"/>
    <w:rsid w:val="0077244F"/>
    <w:rsid w:val="00792584"/>
    <w:rsid w:val="007A4DBB"/>
    <w:rsid w:val="007A7FDE"/>
    <w:rsid w:val="007B43C1"/>
    <w:rsid w:val="00813693"/>
    <w:rsid w:val="00835715"/>
    <w:rsid w:val="00837ED4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92026"/>
    <w:rsid w:val="00AA2477"/>
    <w:rsid w:val="00AB6975"/>
    <w:rsid w:val="00AE33E1"/>
    <w:rsid w:val="00AE57B9"/>
    <w:rsid w:val="00AE7909"/>
    <w:rsid w:val="00B115C9"/>
    <w:rsid w:val="00B1313D"/>
    <w:rsid w:val="00B4324E"/>
    <w:rsid w:val="00B6677A"/>
    <w:rsid w:val="00B80F09"/>
    <w:rsid w:val="00B92A25"/>
    <w:rsid w:val="00BB7158"/>
    <w:rsid w:val="00BD5873"/>
    <w:rsid w:val="00BE148C"/>
    <w:rsid w:val="00BE14CD"/>
    <w:rsid w:val="00C93066"/>
    <w:rsid w:val="00CD6366"/>
    <w:rsid w:val="00D35F7F"/>
    <w:rsid w:val="00D47774"/>
    <w:rsid w:val="00D63F16"/>
    <w:rsid w:val="00D67D98"/>
    <w:rsid w:val="00D77892"/>
    <w:rsid w:val="00D80603"/>
    <w:rsid w:val="00EC45BC"/>
    <w:rsid w:val="00F161CB"/>
    <w:rsid w:val="00F3730E"/>
    <w:rsid w:val="00F37D2C"/>
    <w:rsid w:val="00F45376"/>
    <w:rsid w:val="00F61031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  <w:style w:type="paragraph" w:styleId="PargrafodaLista">
    <w:name w:val="List Paragraph"/>
    <w:basedOn w:val="Normal"/>
    <w:uiPriority w:val="34"/>
    <w:qFormat/>
    <w:rsid w:val="00AB6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537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3</cp:revision>
  <cp:lastPrinted>2026-05-04T14:51:00Z</cp:lastPrinted>
  <dcterms:created xsi:type="dcterms:W3CDTF">2026-05-04T13:46:00Z</dcterms:created>
  <dcterms:modified xsi:type="dcterms:W3CDTF">2026-05-04T15:01:00Z</dcterms:modified>
</cp:coreProperties>
</file>