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0E20175" w14:textId="77777777" w:rsidR="00733B2C" w:rsidRDefault="00733B2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63F9CAB2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4F349A">
        <w:rPr>
          <w:rFonts w:ascii="Cambria" w:hAnsi="Cambria" w:cstheme="minorHAnsi"/>
          <w:b/>
        </w:rPr>
        <w:t>54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625C7B23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4F349A">
        <w:rPr>
          <w:rFonts w:ascii="Cambria" w:hAnsi="Cambria" w:cstheme="minorHAnsi"/>
        </w:rPr>
        <w:t>71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4D3C1785" w14:textId="77777777" w:rsidR="004F349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0250683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CF1F83">
        <w:rPr>
          <w:rFonts w:ascii="Cambria" w:hAnsi="Cambria"/>
          <w:b/>
          <w:bCs/>
        </w:rPr>
        <w:t>Aditiva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4F349A">
        <w:rPr>
          <w:rFonts w:ascii="Cambria" w:hAnsi="Cambria" w:cstheme="minorHAnsi"/>
        </w:rPr>
        <w:t>71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BF838F4" w14:textId="522F5C53" w:rsidR="00CF1F83" w:rsidRPr="00E232E0" w:rsidRDefault="00CF1F83" w:rsidP="00CF1F83">
      <w:pPr>
        <w:jc w:val="both"/>
        <w:rPr>
          <w:rFonts w:ascii="Cambria" w:hAnsi="Cambria"/>
        </w:rPr>
      </w:pPr>
      <w:bookmarkStart w:id="1" w:name="_Hlk136867863"/>
      <w:r w:rsidRPr="00E232E0">
        <w:rPr>
          <w:rFonts w:ascii="Cambria" w:hAnsi="Cambria"/>
        </w:rPr>
        <w:t>Acrescenta-se na redação</w:t>
      </w:r>
      <w:r>
        <w:rPr>
          <w:rFonts w:ascii="Cambria" w:hAnsi="Cambria"/>
        </w:rPr>
        <w:t>, um novo</w:t>
      </w:r>
      <w:r w:rsidR="004F349A">
        <w:rPr>
          <w:rFonts w:ascii="Cambria" w:hAnsi="Cambria"/>
        </w:rPr>
        <w:t xml:space="preserve"> 8º</w:t>
      </w:r>
      <w:r>
        <w:rPr>
          <w:rFonts w:ascii="Cambria" w:hAnsi="Cambria"/>
        </w:rPr>
        <w:t>:</w:t>
      </w:r>
    </w:p>
    <w:p w14:paraId="6CBE33DD" w14:textId="77777777" w:rsidR="008E360B" w:rsidRDefault="008E360B" w:rsidP="008E360B">
      <w:pPr>
        <w:jc w:val="both"/>
        <w:rPr>
          <w:rFonts w:ascii="Cambria" w:hAnsi="Cambria"/>
        </w:rPr>
      </w:pPr>
    </w:p>
    <w:p w14:paraId="1DA35658" w14:textId="3626D25A" w:rsidR="00CF1F83" w:rsidRDefault="00CF1F83" w:rsidP="004F349A">
      <w:pPr>
        <w:ind w:left="2268"/>
        <w:jc w:val="both"/>
        <w:rPr>
          <w:rFonts w:ascii="Cambria" w:hAnsi="Cambria" w:cs="Arial"/>
          <w:bCs/>
        </w:rPr>
      </w:pPr>
      <w:r w:rsidRPr="00CF1F83">
        <w:rPr>
          <w:rFonts w:ascii="Cambria" w:hAnsi="Cambria" w:cs="Arial"/>
          <w:bCs/>
        </w:rPr>
        <w:t xml:space="preserve">Art. </w:t>
      </w:r>
      <w:r w:rsidR="004F349A">
        <w:rPr>
          <w:rFonts w:ascii="Cambria" w:hAnsi="Cambria" w:cs="Arial"/>
          <w:bCs/>
        </w:rPr>
        <w:t>8</w:t>
      </w:r>
      <w:r w:rsidRPr="00CF1F83">
        <w:rPr>
          <w:rFonts w:ascii="Cambria" w:hAnsi="Cambria" w:cs="Arial"/>
          <w:bCs/>
        </w:rPr>
        <w:t xml:space="preserve">º </w:t>
      </w:r>
      <w:r w:rsidR="004F349A" w:rsidRPr="004F349A">
        <w:rPr>
          <w:rFonts w:ascii="Cambria" w:hAnsi="Cambria" w:cs="Arial"/>
          <w:bCs/>
        </w:rPr>
        <w:t>O Poder Executivo</w:t>
      </w:r>
      <w:r w:rsidR="004F349A">
        <w:rPr>
          <w:rFonts w:ascii="Cambria" w:hAnsi="Cambria" w:cs="Arial"/>
          <w:bCs/>
        </w:rPr>
        <w:t xml:space="preserve"> poderá</w:t>
      </w:r>
      <w:r w:rsidR="004F349A" w:rsidRPr="004F349A">
        <w:rPr>
          <w:rFonts w:ascii="Cambria" w:hAnsi="Cambria" w:cs="Arial"/>
          <w:bCs/>
        </w:rPr>
        <w:t xml:space="preserve"> regulamentar esta Lei, no que couber, no prazo de</w:t>
      </w:r>
      <w:r w:rsidR="004F349A">
        <w:rPr>
          <w:rFonts w:ascii="Cambria" w:hAnsi="Cambria" w:cs="Arial"/>
          <w:bCs/>
        </w:rPr>
        <w:t xml:space="preserve"> até</w:t>
      </w:r>
      <w:r w:rsidR="004F349A" w:rsidRPr="004F349A">
        <w:rPr>
          <w:rFonts w:ascii="Cambria" w:hAnsi="Cambria" w:cs="Arial"/>
          <w:bCs/>
        </w:rPr>
        <w:t xml:space="preserve"> 90 (noventa) dias a contar de sua publicação.</w:t>
      </w:r>
    </w:p>
    <w:p w14:paraId="6D9AF20F" w14:textId="77777777" w:rsidR="004F349A" w:rsidRDefault="004F349A" w:rsidP="004F349A">
      <w:pPr>
        <w:ind w:left="2268"/>
        <w:jc w:val="both"/>
        <w:rPr>
          <w:rFonts w:ascii="Cambria" w:hAnsi="Cambria" w:cs="Arial"/>
          <w:bCs/>
        </w:rPr>
      </w:pPr>
    </w:p>
    <w:p w14:paraId="51A33C32" w14:textId="3CB8CA72" w:rsidR="00CF1F83" w:rsidRDefault="00CF1F83" w:rsidP="00CF1F83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E ainda, renumera-se os demais artigos.</w:t>
      </w:r>
    </w:p>
    <w:p w14:paraId="17FD52E6" w14:textId="77777777" w:rsidR="00CF1F83" w:rsidRDefault="00CF1F83" w:rsidP="00CF1F83">
      <w:pPr>
        <w:ind w:left="2268"/>
        <w:jc w:val="both"/>
        <w:rPr>
          <w:rFonts w:ascii="Cambria" w:hAnsi="Cambria" w:cstheme="minorHAnsi"/>
        </w:rPr>
      </w:pPr>
    </w:p>
    <w:p w14:paraId="1A98E0D0" w14:textId="795EA377" w:rsidR="00983CC6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F349A">
        <w:rPr>
          <w:rFonts w:ascii="Cambria" w:hAnsi="Cambria" w:cstheme="minorHAnsi"/>
        </w:rPr>
        <w:t>04 de novembro de 2011</w:t>
      </w:r>
      <w:r w:rsidRPr="00813B8A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516"/>
        <w:gridCol w:w="5237"/>
      </w:tblGrid>
      <w:tr w:rsidR="00793FBA" w:rsidRPr="008320E1" w14:paraId="3039F33A" w14:textId="77777777" w:rsidTr="004F349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516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5237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16076482" w14:textId="3E948D34" w:rsidR="004F349A" w:rsidRDefault="004F349A" w:rsidP="001520C7">
      <w:pPr>
        <w:spacing w:line="276" w:lineRule="auto"/>
        <w:jc w:val="both"/>
        <w:rPr>
          <w:rFonts w:ascii="Cambria" w:hAnsi="Cambria" w:cstheme="minorHAnsi"/>
        </w:rPr>
      </w:pPr>
      <w:r w:rsidRPr="004F349A">
        <w:rPr>
          <w:rFonts w:ascii="Cambria" w:hAnsi="Cambria" w:cstheme="minorHAnsi"/>
        </w:rPr>
        <w:t xml:space="preserve">A presente Emenda Modificativa tem por objetivo incluir dispositivo que estabeleça prazo para que o Poder Executivo </w:t>
      </w:r>
      <w:r w:rsidR="00733B2C">
        <w:rPr>
          <w:rFonts w:ascii="Cambria" w:hAnsi="Cambria" w:cstheme="minorHAnsi"/>
        </w:rPr>
        <w:t xml:space="preserve">possa </w:t>
      </w:r>
      <w:r w:rsidRPr="004F349A">
        <w:rPr>
          <w:rFonts w:ascii="Cambria" w:hAnsi="Cambria" w:cstheme="minorHAnsi"/>
        </w:rPr>
        <w:t>regulament</w:t>
      </w:r>
      <w:r w:rsidR="00733B2C">
        <w:rPr>
          <w:rFonts w:ascii="Cambria" w:hAnsi="Cambria" w:cstheme="minorHAnsi"/>
        </w:rPr>
        <w:t>ar</w:t>
      </w:r>
      <w:r w:rsidRPr="004F349A">
        <w:rPr>
          <w:rFonts w:ascii="Cambria" w:hAnsi="Cambria" w:cstheme="minorHAnsi"/>
        </w:rPr>
        <w:t xml:space="preserve"> a Lei, garantindo condições para sua correta aplicação.</w:t>
      </w:r>
    </w:p>
    <w:p w14:paraId="18766EC4" w14:textId="77777777" w:rsidR="004F349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34A77D1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E638B47" w14:textId="63468C0B" w:rsidR="00586BD8" w:rsidRPr="00813B8A" w:rsidRDefault="004F349A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04 de novembro de 2011</w:t>
      </w:r>
      <w:r w:rsidRPr="00813B8A">
        <w:rPr>
          <w:rFonts w:ascii="Cambria" w:hAnsi="Cambria" w:cstheme="minorHAnsi"/>
        </w:rPr>
        <w:t>.</w:t>
      </w: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374"/>
        <w:gridCol w:w="5379"/>
      </w:tblGrid>
      <w:tr w:rsidR="00793FBA" w:rsidRPr="008320E1" w14:paraId="161679F1" w14:textId="77777777" w:rsidTr="004F349A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74" w:type="dxa"/>
          </w:tcPr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5379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349A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986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83CC6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1071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Recepção</cp:lastModifiedBy>
  <cp:revision>4</cp:revision>
  <cp:lastPrinted>2023-06-15T19:16:00Z</cp:lastPrinted>
  <dcterms:created xsi:type="dcterms:W3CDTF">2025-11-04T21:35:00Z</dcterms:created>
  <dcterms:modified xsi:type="dcterms:W3CDTF">2025-11-04T22:01:00Z</dcterms:modified>
</cp:coreProperties>
</file>