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15"/>
        <w:jc w:val="center"/>
        <w:spacing w:before="0" w:beforeAutospacing="0" w:after="0" w:afterAutospacing="0"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PROJETO DE LEI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</w:r>
    </w:p>
    <w:p>
      <w:pPr>
        <w:pStyle w:val="915"/>
        <w:jc w:val="both"/>
        <w:spacing w:before="0" w:beforeAutospacing="0" w:after="0" w:afterAutospacing="0"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</w:rPr>
      </w:r>
    </w:p>
    <w:p>
      <w:pPr>
        <w:ind w:left="3118" w:right="0" w:firstLine="0"/>
        <w:jc w:val="both"/>
        <w:shd w:val="nil" w:color="auto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t xml:space="preserve">"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white"/>
        </w:rPr>
        <w:t xml:space="preserve">ALTERA A LEI MUNICIPAL Nº 3.684/11 QUE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t xml:space="preserve">ESTABELECE NORMAS E TAXAS PARA O LICENCIAMENTO AMBIENTAL MUNICIPAL,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E DÁ OUTRAS PROVIDÊNCIAS”.</w:t>
      </w: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r>
      <w:r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r>
    </w:p>
    <w:p>
      <w:pPr>
        <w:pStyle w:val="915"/>
        <w:jc w:val="both"/>
        <w:spacing w:before="0" w:beforeAutospacing="0" w:after="0" w:afterAutospacing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pStyle w:val="915"/>
        <w:ind w:firstLine="1418"/>
        <w:jc w:val="both"/>
        <w:spacing w:before="0" w:beforeAutospacing="0" w:after="0" w:afterAutospacing="0" w:line="360" w:lineRule="auto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Art. 1º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Fica alterada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 a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Lei Municipal Nº 3.684/11, que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Estabelece Normas e Taxas Para o Licenciamento Ambiental Municipal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, passando a ter a seguinte redação: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</w:p>
    <w:p>
      <w:pPr>
        <w:pStyle w:val="915"/>
        <w:ind w:left="1417" w:right="0" w:firstLine="1"/>
        <w:jc w:val="both"/>
        <w:spacing w:line="240" w:lineRule="auto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 xml:space="preserve">Art. 4º -</w:t>
      </w:r>
      <w:r>
        <w:rPr>
          <w:b/>
          <w:bCs/>
          <w:i w:val="0"/>
          <w:iCs w:val="0"/>
        </w:rPr>
      </w:r>
      <w:r>
        <w:rPr>
          <w:b/>
          <w:bCs/>
          <w:i w:val="0"/>
          <w:iCs w:val="0"/>
        </w:rPr>
      </w:r>
    </w:p>
    <w:p>
      <w:pPr>
        <w:pStyle w:val="915"/>
        <w:ind w:left="1417" w:right="0" w:firstLine="1"/>
        <w:jc w:val="both"/>
        <w:spacing w:line="240" w:lineRule="auto"/>
        <w:rPr>
          <w:bCs/>
          <w:i/>
        </w:rPr>
      </w:pPr>
      <w:r>
        <w:rPr>
          <w:i/>
          <w:iCs/>
        </w:rPr>
      </w:r>
      <w:r>
        <w:rPr>
          <w:i/>
          <w:iCs/>
        </w:rPr>
        <w:t xml:space="preserve">Art. 4º - O órgão ambiental do Município poderá exigir e expedir as seguintes licenças:  </w:t>
      </w:r>
      <w:r>
        <w:rPr>
          <w:bCs/>
          <w:i/>
        </w:rPr>
      </w:r>
      <w:r>
        <w:rPr>
          <w:bCs/>
          <w:i/>
        </w:rPr>
      </w:r>
    </w:p>
    <w:p>
      <w:pPr>
        <w:pStyle w:val="915"/>
        <w:ind w:left="1417" w:right="0" w:firstLine="1"/>
        <w:jc w:val="both"/>
        <w:spacing w:line="240" w:lineRule="auto"/>
        <w:rPr>
          <w:bCs/>
          <w:i/>
        </w:rPr>
      </w:pPr>
      <w:r>
        <w:rPr>
          <w:i/>
          <w:iCs/>
        </w:rPr>
        <w:t xml:space="preserve">I - As atividades de Porte Mínimo e Pequeno com Potencial Poluidor Baixo e Médio terão um Licença Única (L.U).  </w:t>
      </w:r>
      <w:r>
        <w:rPr>
          <w:bCs/>
          <w:i/>
        </w:rPr>
      </w:r>
      <w:r>
        <w:rPr>
          <w:bCs/>
          <w:i/>
        </w:rPr>
      </w:r>
    </w:p>
    <w:p>
      <w:pPr>
        <w:pStyle w:val="915"/>
        <w:ind w:left="1417" w:right="0" w:firstLine="1"/>
        <w:jc w:val="both"/>
        <w:spacing w:line="240" w:lineRule="auto"/>
        <w:rPr>
          <w:bCs/>
          <w:i/>
        </w:rPr>
      </w:pPr>
      <w:r>
        <w:rPr>
          <w:i/>
          <w:iCs/>
        </w:rPr>
        <w:t xml:space="preserve">II - Licença Prévia (LP) - que pode ser exigida, em fas</w:t>
      </w:r>
      <w:r>
        <w:rPr>
          <w:i/>
          <w:iCs/>
        </w:rPr>
        <w:t xml:space="preserve">e preliminar do planejamento de empreendimento ou atividade, aprovando sua concepção e sua localização, atestando adequação ambiental e fixando os requisitos que devem ser atendidos para sua implementação;  </w:t>
      </w:r>
      <w:r>
        <w:rPr>
          <w:bCs/>
          <w:i/>
        </w:rPr>
      </w:r>
      <w:r>
        <w:rPr>
          <w:bCs/>
          <w:i/>
        </w:rPr>
      </w:r>
    </w:p>
    <w:p>
      <w:pPr>
        <w:pStyle w:val="915"/>
        <w:contextualSpacing w:val="0"/>
        <w:ind w:left="1417" w:right="0" w:firstLine="1"/>
        <w:jc w:val="both"/>
        <w:spacing w:before="0" w:beforeAutospacing="1" w:line="90" w:lineRule="atLeast"/>
        <w:rPr>
          <w:bCs/>
          <w:i/>
        </w:rPr>
      </w:pPr>
      <w:r>
        <w:rPr>
          <w:i/>
          <w:iCs/>
        </w:rPr>
        <w:t xml:space="preserve">III - Licença para Instalação (LI) - que autoriza</w:t>
      </w:r>
      <w:r>
        <w:rPr>
          <w:i/>
          <w:iCs/>
        </w:rPr>
        <w:t xml:space="preserve"> a instalação do empreendimento ou atividade, de acordo com projetos aprovados, com ou sem Licença Prévia (LP);  </w:t>
      </w:r>
      <w:r>
        <w:rPr>
          <w:bCs/>
          <w:i/>
        </w:rPr>
      </w:r>
      <w:r>
        <w:rPr>
          <w:bCs/>
          <w:i/>
        </w:rPr>
      </w:r>
    </w:p>
    <w:p>
      <w:pPr>
        <w:pStyle w:val="915"/>
        <w:ind w:left="1417" w:right="0" w:firstLine="1"/>
        <w:jc w:val="both"/>
        <w:spacing w:line="283" w:lineRule="exact"/>
        <w:rPr>
          <w:highlight w:val="none"/>
        </w:rPr>
      </w:pPr>
      <w:r>
        <w:rPr>
          <w:i/>
          <w:iCs/>
        </w:rPr>
        <w:t xml:space="preserve">IV- Licença para Operação (LO) - licença final que autoriza a operação do empreendimento ou atividade, após verificação de cumprimento das exig</w:t>
      </w:r>
      <w:r>
        <w:rPr>
          <w:i/>
          <w:iCs/>
        </w:rPr>
        <w:t xml:space="preserve">ências constantes em Licença Prévia (LP) ou Licença para Instalação (LI) e desde que haja compromisso, escrito, de atender as condicionantes ambientais, cuja realização só após a operação for possível;</w:t>
      </w:r>
      <w:r>
        <w:rPr>
          <w:highlight w:val="none"/>
        </w:rPr>
      </w:r>
      <w:r>
        <w:rPr>
          <w:highlight w:val="none"/>
        </w:rPr>
      </w:r>
    </w:p>
    <w:p>
      <w:pPr>
        <w:pStyle w:val="915"/>
        <w:ind w:left="1417" w:right="0" w:firstLine="1"/>
        <w:jc w:val="both"/>
        <w:spacing w:line="240" w:lineRule="auto"/>
        <w:rPr>
          <w:bCs/>
          <w:i/>
          <w:highlight w:val="none"/>
        </w:rPr>
      </w:pPr>
      <w:r>
        <w:rPr>
          <w:i/>
          <w:iCs/>
          <w:highlight w:val="none"/>
        </w:rPr>
      </w:r>
      <w:r>
        <w:rPr>
          <w:i/>
          <w:iCs/>
        </w:rPr>
        <w:t xml:space="preserve">Parágrafo Único – As licenças ambientais poderão ser expedidas isolada ou sucessivamente, de acordo com a natureza, características e fase do empreendimento ou atividade. </w:t>
      </w:r>
      <w:r>
        <w:rPr>
          <w:bCs/>
          <w:i/>
          <w:highlight w:val="none"/>
        </w:rPr>
      </w:r>
      <w:r>
        <w:rPr>
          <w:bCs/>
          <w:i/>
          <w:highlight w:val="none"/>
        </w:rPr>
      </w:r>
    </w:p>
    <w:p>
      <w:pPr>
        <w:pStyle w:val="915"/>
        <w:ind w:left="1417" w:right="0" w:firstLine="1"/>
        <w:jc w:val="both"/>
        <w:spacing w:line="240" w:lineRule="auto"/>
        <w:rPr>
          <w:bCs w:val="0"/>
          <w:i w:val="0"/>
          <w:highlight w:val="none"/>
        </w:rPr>
      </w:pPr>
      <w:r>
        <w:rPr>
          <w:bCs w:val="0"/>
          <w:i w:val="0"/>
          <w:highlight w:val="none"/>
        </w:rPr>
      </w:r>
      <w:r>
        <w:rPr>
          <w:bCs w:val="0"/>
          <w:i w:val="0"/>
          <w:highlight w:val="none"/>
        </w:rPr>
      </w:r>
      <w:r>
        <w:rPr>
          <w:bCs w:val="0"/>
          <w:i w:val="0"/>
          <w:highlight w:val="none"/>
        </w:rPr>
      </w:r>
    </w:p>
    <w:p>
      <w:pPr>
        <w:pStyle w:val="915"/>
        <w:ind w:left="1417" w:right="0" w:firstLine="1"/>
        <w:jc w:val="both"/>
        <w:spacing w:line="240" w:lineRule="auto"/>
        <w:rPr>
          <w:bCs w:val="0"/>
          <w:i w:val="0"/>
          <w:highlight w:val="none"/>
        </w:rPr>
      </w:pPr>
      <w:r>
        <w:rPr>
          <w:i/>
          <w:iCs/>
          <w:highlight w:val="none"/>
        </w:rPr>
      </w:r>
      <w:r>
        <w:rPr>
          <w:bCs w:val="0"/>
          <w:i w:val="0"/>
          <w:highlight w:val="none"/>
        </w:rPr>
      </w:r>
      <w:r>
        <w:rPr>
          <w:bCs w:val="0"/>
          <w:i w:val="0"/>
          <w:highlight w:val="none"/>
        </w:rPr>
      </w:r>
    </w:p>
    <w:p>
      <w:pPr>
        <w:pStyle w:val="915"/>
        <w:ind w:left="0" w:right="0" w:firstLine="1417"/>
        <w:jc w:val="both"/>
        <w:spacing w:line="240" w:lineRule="auto"/>
        <w:rPr>
          <w:b/>
          <w:bCs w:val="0"/>
          <w:i w:val="0"/>
          <w:highlight w:val="none"/>
        </w:rPr>
      </w:pPr>
      <w:r>
        <w:rPr>
          <w:b/>
          <w:bCs/>
          <w:i w:val="0"/>
          <w:iCs w:val="0"/>
          <w:highlight w:val="none"/>
        </w:rPr>
        <w:t xml:space="preserve">Art. 6º - </w:t>
      </w:r>
      <w:r>
        <w:rPr>
          <w:b/>
          <w:bCs w:val="0"/>
          <w:i w:val="0"/>
          <w:highlight w:val="none"/>
        </w:rPr>
      </w:r>
      <w:r>
        <w:rPr>
          <w:b/>
          <w:bCs w:val="0"/>
          <w:i w:val="0"/>
          <w:highlight w:val="none"/>
        </w:rPr>
      </w:r>
    </w:p>
    <w:p>
      <w:pPr>
        <w:pStyle w:val="915"/>
        <w:ind w:left="1417" w:right="0" w:firstLine="0"/>
        <w:jc w:val="both"/>
        <w:spacing w:line="240" w:lineRule="auto"/>
        <w:rPr>
          <w:b/>
          <w:bCs/>
          <w:i/>
          <w:highlight w:val="none"/>
        </w:rPr>
      </w:pPr>
      <w:r>
        <w:rPr>
          <w:b/>
          <w:bCs/>
          <w:i/>
          <w:iCs/>
          <w:highlight w:val="none"/>
        </w:rPr>
      </w:r>
      <w:r>
        <w:rPr>
          <w:i/>
          <w:iCs/>
        </w:rPr>
        <w:t xml:space="preserve">Art. 6º - O órgão ambiental poderá estabelecer prazos de análise diferenciados para cada modalidade de licença (L.U, L.P, L.I e L.O), em função das peculiaridades da atividade ou empreendimento, bem como para a formulação de exigências complementares, desd</w:t>
      </w:r>
      <w:r>
        <w:rPr>
          <w:i/>
          <w:iCs/>
        </w:rPr>
        <w:t xml:space="preserve">e que observado o prazo máximo de 6 (seis) meses, a contar do ato de protocolar o requerimento até seu deferimento ou indeferimento, ressalvados os casos em que houver EIA/RIMA e/ou audiência pública, quando o prazo será de até 12 (doze) meses.</w:t>
      </w:r>
      <w:r>
        <w:rPr>
          <w:b/>
          <w:bCs/>
          <w:i/>
          <w:highlight w:val="none"/>
        </w:rPr>
      </w:r>
      <w:r>
        <w:rPr>
          <w:b/>
          <w:bCs/>
          <w:i/>
          <w:highlight w:val="none"/>
        </w:rPr>
      </w:r>
    </w:p>
    <w:p>
      <w:pPr>
        <w:pStyle w:val="915"/>
        <w:ind w:left="1417" w:right="0" w:firstLine="0"/>
        <w:jc w:val="both"/>
        <w:spacing w:line="240" w:lineRule="auto"/>
        <w:rPr>
          <w:b/>
          <w:bCs/>
          <w:i/>
          <w:highlight w:val="none"/>
        </w:rPr>
      </w:pPr>
      <w:r>
        <w:rPr>
          <w:b/>
          <w:bCs w:val="0"/>
          <w:i/>
          <w:iCs/>
          <w:highlight w:val="none"/>
        </w:rPr>
      </w:r>
      <w:r>
        <w:rPr>
          <w:b/>
          <w:bCs/>
          <w:i/>
          <w:highlight w:val="none"/>
        </w:rPr>
      </w:r>
      <w:r>
        <w:rPr>
          <w:b/>
          <w:bCs/>
          <w:i/>
          <w:highlight w:val="none"/>
        </w:rPr>
      </w:r>
    </w:p>
    <w:p>
      <w:pPr>
        <w:pStyle w:val="915"/>
        <w:ind w:left="1417" w:right="0" w:firstLine="0"/>
        <w:jc w:val="both"/>
        <w:spacing w:line="240" w:lineRule="auto"/>
        <w:rPr>
          <w:b/>
          <w:bCs/>
          <w:i/>
          <w:highlight w:val="none"/>
        </w:rPr>
      </w:pPr>
      <w:r>
        <w:rPr>
          <w:b/>
          <w:bCs w:val="0"/>
          <w:i/>
          <w:iCs/>
          <w:highlight w:val="none"/>
        </w:rPr>
        <w:t xml:space="preserve">Art. 11 -</w:t>
      </w:r>
      <w:r>
        <w:rPr>
          <w:b/>
          <w:bCs/>
          <w:i/>
          <w:highlight w:val="none"/>
        </w:rPr>
      </w:r>
      <w:r>
        <w:rPr>
          <w:b/>
          <w:bCs/>
          <w:i/>
          <w:highlight w:val="none"/>
        </w:rPr>
      </w:r>
    </w:p>
    <w:p>
      <w:pPr>
        <w:pStyle w:val="915"/>
        <w:ind w:left="1417" w:right="0" w:firstLine="0"/>
        <w:jc w:val="both"/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 w:val="0"/>
          <w:i/>
          <w:i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Art. 11- O órgão ambiental estabelecerá os prazos de validade de cada tipo de licença, especificando-os no respectivo documento, levando em consideração os seguintes aspectos.  </w:t>
      </w:r>
      <w:r>
        <w:rPr>
          <w:rFonts w:ascii="Times New Roman" w:hAnsi="Times New Roman" w:cs="Times New Roman"/>
          <w:bCs/>
          <w:i/>
          <w:sz w:val="24"/>
          <w:szCs w:val="24"/>
        </w:rPr>
      </w:r>
      <w:r>
        <w:rPr>
          <w:rFonts w:ascii="Times New Roman" w:hAnsi="Times New Roman" w:cs="Times New Roman"/>
          <w:bCs/>
          <w:i/>
          <w:sz w:val="24"/>
          <w:szCs w:val="24"/>
        </w:rPr>
      </w:r>
    </w:p>
    <w:p>
      <w:pPr>
        <w:pStyle w:val="915"/>
        <w:ind w:left="1417" w:right="0" w:firstLine="0"/>
        <w:jc w:val="both"/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I- O prazo de validade da Licença Única (LU) não poderá ser superior a 4 anos (</w:t>
      </w:r>
      <w:r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quatro), renovável por iguais períodos e deverá ser requerida com antecedência mínima de 120 (cento e vinte) dias da expiração</w:t>
      </w:r>
      <w:r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 de seu prazo de validade, fixado na respectiva licença, ficando este automaticamente prorrogado até a manifestação definitiva do órgão ambiental competente.  </w:t>
      </w:r>
      <w:r>
        <w:rPr>
          <w:rFonts w:ascii="Times New Roman" w:hAnsi="Times New Roman" w:cs="Times New Roman"/>
          <w:bCs/>
          <w:i/>
          <w:sz w:val="24"/>
          <w:szCs w:val="24"/>
        </w:rPr>
      </w:r>
      <w:r>
        <w:rPr>
          <w:rFonts w:ascii="Times New Roman" w:hAnsi="Times New Roman" w:cs="Times New Roman"/>
          <w:bCs/>
          <w:i/>
          <w:sz w:val="24"/>
          <w:szCs w:val="24"/>
        </w:rPr>
      </w:r>
    </w:p>
    <w:p>
      <w:pPr>
        <w:pStyle w:val="915"/>
        <w:ind w:left="1417" w:right="0" w:firstLine="0"/>
        <w:jc w:val="both"/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II- </w:t>
      </w: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highlight w:val="white"/>
        </w:rPr>
        <w:t xml:space="preserve">O prazo de validade da Licença Prévia (LP) deverá ser, no mínimo, o estabelecido pelo cronograma de elaboração dos planos, programas e projetos relativos ao empreendimento ou atividade, não podendo ser superior a 5 (cinco) anos.</w:t>
      </w:r>
      <w:r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i/>
          <w:sz w:val="24"/>
          <w:szCs w:val="24"/>
        </w:rPr>
      </w:r>
      <w:r>
        <w:rPr>
          <w:rFonts w:ascii="Times New Roman" w:hAnsi="Times New Roman" w:cs="Times New Roman"/>
          <w:bCs/>
          <w:i/>
          <w:sz w:val="24"/>
          <w:szCs w:val="24"/>
        </w:rPr>
      </w:r>
    </w:p>
    <w:p>
      <w:pPr>
        <w:pStyle w:val="915"/>
        <w:ind w:left="1417" w:right="0" w:firstLine="0"/>
        <w:jc w:val="both"/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III- </w:t>
      </w: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highlight w:val="white"/>
        </w:rPr>
        <w:t xml:space="preserve">O prazo de validade da Licença de Instalação (LI) deverá ser, no mínimo, o estabelecido pelo cronograma de instalação do empreendimento ou atividade, não podendo ser superior a 6 (seis) anos.</w:t>
      </w:r>
      <w:r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i/>
          <w:sz w:val="24"/>
          <w:szCs w:val="24"/>
        </w:rPr>
      </w:r>
      <w:r>
        <w:rPr>
          <w:rFonts w:ascii="Times New Roman" w:hAnsi="Times New Roman" w:cs="Times New Roman"/>
          <w:bCs/>
          <w:i/>
          <w:sz w:val="24"/>
          <w:szCs w:val="24"/>
        </w:rPr>
      </w:r>
    </w:p>
    <w:p>
      <w:pPr>
        <w:pStyle w:val="915"/>
        <w:ind w:left="1417" w:right="0" w:firstLine="0"/>
        <w:jc w:val="both"/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IV- </w:t>
      </w: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highlight w:val="white"/>
        </w:rPr>
        <w:t xml:space="preserve">O prazo de validade da Licença de Operação (LO) deverá considerar os planos de controle ambiental e será de 4 (quatro) ano, renovado por </w:t>
      </w: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highlight w:val="white"/>
        </w:rPr>
        <w:t xml:space="preserve">iguais períodos.</w:t>
      </w:r>
      <w:r>
        <w:rPr>
          <w:rFonts w:ascii="Times New Roman" w:hAnsi="Times New Roman" w:cs="Times New Roman"/>
          <w:bCs/>
          <w:i/>
          <w:sz w:val="24"/>
          <w:szCs w:val="24"/>
        </w:rPr>
      </w:r>
      <w:r>
        <w:rPr>
          <w:rFonts w:ascii="Times New Roman" w:hAnsi="Times New Roman" w:cs="Times New Roman"/>
          <w:bCs/>
          <w:i/>
          <w:sz w:val="24"/>
          <w:szCs w:val="24"/>
        </w:rPr>
      </w:r>
    </w:p>
    <w:p>
      <w:pPr>
        <w:pStyle w:val="915"/>
        <w:ind w:left="1417" w:right="0" w:firstLine="0"/>
        <w:jc w:val="both"/>
        <w:spacing w:line="240" w:lineRule="auto"/>
        <w:rPr>
          <w:rFonts w:ascii="Times New Roman" w:hAnsi="Times New Roman" w:eastAsia="Times New Roman" w:cs="Times New Roman"/>
          <w:bCs/>
          <w:i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i/>
          <w:iCs/>
          <w:color w:val="000000"/>
          <w:sz w:val="24"/>
          <w:szCs w:val="24"/>
          <w:highlight w:val="white"/>
        </w:rPr>
        <w:t xml:space="preserve"> </w:t>
      </w:r>
      <w:r>
        <w:rPr>
          <w:rFonts w:ascii="Times New Roman" w:hAnsi="Times New Roman" w:eastAsia="Times New Roman" w:cs="Times New Roman"/>
          <w:b w:val="0"/>
          <w:bCs w:val="0"/>
          <w:i/>
          <w:iCs/>
          <w:color w:val="000000"/>
          <w:sz w:val="24"/>
          <w:szCs w:val="24"/>
          <w:highlight w:val="white"/>
        </w:rPr>
        <w:t xml:space="preserve">§ 1º</w:t>
      </w:r>
      <w:r>
        <w:rPr>
          <w:rFonts w:ascii="Times New Roman" w:hAnsi="Times New Roman" w:eastAsia="Times New Roman" w:cs="Times New Roman"/>
          <w:b w:val="0"/>
          <w:bCs w:val="0"/>
          <w:i/>
          <w:iCs/>
          <w:color w:val="000000"/>
          <w:sz w:val="24"/>
          <w:szCs w:val="24"/>
          <w:highlight w:val="white"/>
        </w:rPr>
        <w:t xml:space="preserve"> </w:t>
      </w: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highlight w:val="white"/>
        </w:rPr>
        <w:t xml:space="preserve">A Licença de Instalação (LI) poderá ter o prazo de validade prorrogado, desde que não ultrapasse o prazo máximo estabelecido no inciso</w:t>
      </w: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highlight w:val="none"/>
        </w:rPr>
        <w:t xml:space="preserve"> III.</w:t>
      </w:r>
      <w:r>
        <w:rPr>
          <w:rFonts w:ascii="Times New Roman" w:hAnsi="Times New Roman" w:eastAsia="Times New Roman" w:cs="Times New Roman"/>
          <w:bCs/>
          <w:i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Cs/>
          <w:i/>
          <w:color w:val="000000"/>
          <w:sz w:val="24"/>
          <w:szCs w:val="24"/>
          <w:highlight w:val="none"/>
        </w:rPr>
      </w:r>
    </w:p>
    <w:p>
      <w:pPr>
        <w:pStyle w:val="915"/>
        <w:ind w:left="1417" w:right="0" w:firstLine="0"/>
        <w:jc w:val="both"/>
        <w:spacing w:line="240" w:lineRule="auto"/>
        <w:rPr>
          <w:rFonts w:ascii="Times New Roman" w:hAnsi="Times New Roman" w:eastAsia="Times New Roman" w:cs="Times New Roman"/>
          <w:bCs/>
          <w:i/>
          <w:color w:val="000000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highlight w:val="white"/>
        </w:rPr>
        <w:t xml:space="preserve"> </w:t>
        <w:br/>
      </w:r>
      <w:r>
        <w:rPr>
          <w:rFonts w:ascii="Times New Roman" w:hAnsi="Times New Roman" w:eastAsia="Times New Roman" w:cs="Times New Roman"/>
          <w:bCs/>
          <w:i/>
          <w:color w:val="000000"/>
          <w:sz w:val="24"/>
          <w:szCs w:val="24"/>
          <w:highlight w:val="white"/>
        </w:rPr>
      </w:r>
      <w:r>
        <w:rPr>
          <w:rFonts w:ascii="Times New Roman" w:hAnsi="Times New Roman" w:eastAsia="Times New Roman" w:cs="Times New Roman"/>
          <w:bCs/>
          <w:i/>
          <w:color w:val="000000"/>
          <w:sz w:val="24"/>
          <w:szCs w:val="24"/>
          <w:highlight w:val="white"/>
        </w:rPr>
      </w:r>
    </w:p>
    <w:p>
      <w:pPr>
        <w:pStyle w:val="915"/>
        <w:ind w:left="1417" w:right="0" w:firstLine="0"/>
        <w:jc w:val="both"/>
        <w:spacing w:line="240" w:lineRule="auto"/>
        <w:rPr>
          <w:rFonts w:ascii="Times New Roman" w:hAnsi="Times New Roman" w:eastAsia="Times New Roman" w:cs="Times New Roman"/>
          <w:bCs/>
          <w:i/>
          <w:color w:val="000000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highlight w:val="white"/>
        </w:rPr>
      </w:r>
      <w:r>
        <w:rPr>
          <w:rFonts w:ascii="Times New Roman" w:hAnsi="Times New Roman" w:eastAsia="Times New Roman" w:cs="Times New Roman"/>
          <w:b w:val="0"/>
          <w:bCs w:val="0"/>
          <w:i/>
          <w:iCs/>
          <w:color w:val="000000"/>
          <w:sz w:val="24"/>
          <w:szCs w:val="24"/>
          <w:highlight w:val="white"/>
        </w:rPr>
        <w:t xml:space="preserve">§ 2º</w:t>
      </w:r>
      <w:r>
        <w:rPr>
          <w:rFonts w:ascii="Times New Roman" w:hAnsi="Times New Roman" w:eastAsia="Times New Roman" w:cs="Times New Roman"/>
          <w:b w:val="0"/>
          <w:bCs w:val="0"/>
          <w:i/>
          <w:iCs/>
          <w:color w:val="000000"/>
          <w:sz w:val="24"/>
          <w:szCs w:val="24"/>
          <w:highlight w:val="white"/>
        </w:rPr>
        <w:t xml:space="preserve"> A</w:t>
      </w: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highlight w:val="white"/>
        </w:rPr>
        <w:t xml:space="preserve"> renovação da Licença de Operação (LO) de uma atividade ou empreendimento deverá ser requerida com antecedência mínima de 120 (cento e vinte) dias da expiração de seu prazo de validade, fixado na respectiva licença, ficando este automaticamente prorrogad</w:t>
      </w: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highlight w:val="white"/>
        </w:rPr>
        <w:t xml:space="preserve">o até a manifestação definitiva do órgão ambiental competente.</w:t>
      </w:r>
      <w:r>
        <w:rPr>
          <w:rFonts w:ascii="Times New Roman" w:hAnsi="Times New Roman" w:eastAsia="Times New Roman" w:cs="Times New Roman"/>
          <w:bCs/>
          <w:i/>
          <w:color w:val="000000"/>
          <w:sz w:val="24"/>
          <w:szCs w:val="24"/>
          <w:highlight w:val="white"/>
        </w:rPr>
      </w:r>
      <w:r>
        <w:rPr>
          <w:rFonts w:ascii="Times New Roman" w:hAnsi="Times New Roman" w:eastAsia="Times New Roman" w:cs="Times New Roman"/>
          <w:bCs/>
          <w:i/>
          <w:color w:val="000000"/>
          <w:sz w:val="24"/>
          <w:szCs w:val="24"/>
          <w:highlight w:val="white"/>
        </w:rPr>
      </w:r>
    </w:p>
    <w:p>
      <w:pPr>
        <w:pStyle w:val="915"/>
        <w:ind w:left="1417" w:right="0" w:firstLine="0"/>
        <w:jc w:val="both"/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i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i/>
          <w:sz w:val="24"/>
          <w:szCs w:val="24"/>
          <w:highlight w:val="none"/>
        </w:rPr>
      </w:r>
    </w:p>
    <w:p>
      <w:pPr>
        <w:pStyle w:val="915"/>
        <w:ind w:left="1417" w:right="0" w:firstLine="0"/>
        <w:jc w:val="both"/>
        <w:spacing w:line="240" w:lineRule="auto"/>
        <w:rPr>
          <w:rFonts w:ascii="Times New Roman" w:hAnsi="Times New Roman" w:eastAsia="Times New Roman" w:cs="Times New Roman"/>
          <w:b/>
          <w:bCs w:val="0"/>
          <w:i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sz w:val="24"/>
          <w:szCs w:val="24"/>
          <w:highlight w:val="none"/>
        </w:rPr>
        <w:t xml:space="preserve">Art. 17 - </w:t>
      </w:r>
      <w:r>
        <w:rPr>
          <w:rFonts w:ascii="Times New Roman" w:hAnsi="Times New Roman" w:eastAsia="Times New Roman" w:cs="Times New Roman"/>
          <w:b/>
          <w:bCs w:val="0"/>
          <w:i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 w:val="0"/>
          <w:i w:val="0"/>
          <w:sz w:val="24"/>
          <w:szCs w:val="24"/>
          <w:highlight w:val="none"/>
        </w:rPr>
      </w:r>
    </w:p>
    <w:p>
      <w:pPr>
        <w:pStyle w:val="915"/>
        <w:ind w:left="1417" w:right="0" w:firstLine="0"/>
        <w:jc w:val="both"/>
        <w:spacing w:line="240" w:lineRule="auto"/>
        <w:rPr>
          <w:bCs/>
          <w:i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highlight w:val="none"/>
        </w:rPr>
      </w:r>
      <w:r>
        <w:rPr>
          <w:i/>
          <w:iCs/>
        </w:rPr>
        <w:t xml:space="preserve">Art. 17- No caso de regularização de empreendimentos, sem L.U (Licença Única) ou LP e LI anteriores, será cobrada a Taxa de Regularização (TR), cujo valor é o somatório da LP, LI e LO, ou o valor da L.U, caso se enquadre nesta modalidade.  </w:t>
      </w:r>
      <w:r>
        <w:rPr>
          <w:bCs/>
          <w:i/>
        </w:rPr>
      </w:r>
      <w:r>
        <w:rPr>
          <w:bCs/>
          <w:i/>
        </w:rPr>
      </w:r>
    </w:p>
    <w:p>
      <w:pPr>
        <w:pStyle w:val="915"/>
        <w:ind w:left="1417" w:right="0" w:firstLine="0"/>
        <w:jc w:val="both"/>
        <w:spacing w:line="240" w:lineRule="auto"/>
        <w:rPr>
          <w:rFonts w:ascii="Times New Roman" w:hAnsi="Times New Roman" w:cs="Times New Roman"/>
          <w:b w:val="0"/>
          <w:bCs/>
          <w:i/>
          <w:sz w:val="24"/>
          <w:szCs w:val="24"/>
          <w:highlight w:val="none"/>
        </w:rPr>
      </w:pPr>
      <w:r>
        <w:rPr>
          <w:i/>
          <w:iCs/>
        </w:rPr>
        <w:t xml:space="preserve">Parágrafo Único </w:t>
      </w:r>
      <w:r>
        <w:rPr>
          <w:i/>
          <w:iCs/>
        </w:rPr>
        <w:t xml:space="preserve">– Empreendimentos, atividades e demais ações que estejam em Áreas de Preservação Permanentes (A.P.Ps.), áreas de risco ou em descompasso com a Legislação Ambiental, não serão objeto de regularização.  </w:t>
      </w:r>
      <w:r>
        <w:rPr>
          <w:rFonts w:ascii="Times New Roman" w:hAnsi="Times New Roman" w:cs="Times New Roman"/>
          <w:b w:val="0"/>
          <w:bCs/>
          <w:i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/>
          <w:i/>
          <w:sz w:val="24"/>
          <w:szCs w:val="24"/>
          <w:highlight w:val="none"/>
        </w:rPr>
      </w:r>
    </w:p>
    <w:p>
      <w:pPr>
        <w:pStyle w:val="915"/>
        <w:ind w:firstLine="1418"/>
        <w:jc w:val="both"/>
        <w:spacing w:before="0" w:beforeAutospacing="0" w:after="0" w:afterAutospacing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pStyle w:val="915"/>
        <w:ind w:firstLine="1418"/>
        <w:jc w:val="both"/>
        <w:spacing w:before="0" w:beforeAutospacing="0" w:after="0" w:afterAutospacing="0" w:line="360" w:lineRule="auto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Art. 2º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Esta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Lei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entrará em vigor na data de sua publicação, ficando revogadas as disposições em contrário.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pStyle w:val="915"/>
        <w:jc w:val="both"/>
        <w:spacing w:before="0" w:beforeAutospacing="0" w:after="0" w:afterAutospacing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pStyle w:val="915"/>
        <w:ind w:firstLine="708"/>
        <w:jc w:val="right"/>
        <w:spacing w:before="0" w:beforeAutospacing="0" w:after="0" w:afterAutospacing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Canguçu, 14 de agosto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de 2023.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pStyle w:val="915"/>
        <w:ind w:firstLine="708"/>
        <w:jc w:val="both"/>
        <w:spacing w:before="0" w:beforeAutospacing="0" w:after="0" w:afterAutospacing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pStyle w:val="915"/>
        <w:ind w:firstLine="708"/>
        <w:jc w:val="both"/>
        <w:spacing w:before="0" w:beforeAutospacing="0" w:after="0" w:afterAutospacing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pStyle w:val="915"/>
        <w:ind w:firstLine="708"/>
        <w:jc w:val="both"/>
        <w:spacing w:before="0" w:beforeAutospacing="0" w:after="0" w:afterAutospacing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pStyle w:val="915"/>
        <w:ind w:firstLine="708"/>
        <w:jc w:val="both"/>
        <w:spacing w:before="0" w:beforeAutospacing="0" w:after="0" w:afterAutospacing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pStyle w:val="915"/>
        <w:ind w:firstLine="708"/>
        <w:jc w:val="both"/>
        <w:spacing w:before="0" w:beforeAutospacing="0" w:after="0" w:afterAutospacing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LEANDRO GAUGER EHLERT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Vereador MDB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t xml:space="preserve">JUSTIFICATIVA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ind w:left="0" w:right="0" w:firstLine="1134"/>
        <w:jc w:val="both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Considerando que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a implementação de uma Licença Única no projeto de licenciamento ambiental do município de Canguçu pode trazer diversos benefícios significativos para o meio ambiente, para os empreendedores e para a própria administração municipal. Como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:</w:t>
      </w:r>
      <w:r/>
    </w:p>
    <w:p>
      <w:pPr>
        <w:ind w:left="0" w:right="0" w:firstLine="1134"/>
        <w:jc w:val="both"/>
        <w:rPr>
          <w:sz w:val="16"/>
          <w:szCs w:val="16"/>
        </w:rPr>
      </w:pPr>
      <w:r>
        <w:rPr>
          <w:rFonts w:ascii="Times New Roman" w:hAnsi="Times New Roman" w:eastAsia="Times New Roman" w:cs="Times New Roman"/>
          <w:b w:val="0"/>
          <w:bCs w:val="0"/>
          <w:sz w:val="16"/>
          <w:szCs w:val="16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16"/>
          <w:szCs w:val="16"/>
          <w:highlight w:val="none"/>
        </w:rPr>
      </w:r>
      <w:r>
        <w:rPr>
          <w:sz w:val="16"/>
          <w:szCs w:val="16"/>
        </w:rPr>
      </w:r>
    </w:p>
    <w:p>
      <w:pPr>
        <w:ind w:left="0" w:right="0" w:firstLine="1134"/>
        <w:jc w:val="both"/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t xml:space="preserve">Simplificação e Agilidade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: A Licença Única simplifica o processo de licenciamento, unificando as diferentes etapas (prévia, de instalação e de operação) em um único documento. Isso reduz a burocracia e acelera o processo, permitindo que os empreendim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entos entrem em operação de forma mais rápida, sem comprometer a qualidade e a segurança ambiental.</w:t>
      </w:r>
      <w:r/>
    </w:p>
    <w:p>
      <w:pPr>
        <w:ind w:left="0" w:right="0" w:firstLine="1134"/>
        <w:jc w:val="both"/>
        <w:rPr>
          <w:sz w:val="16"/>
          <w:szCs w:val="16"/>
        </w:rPr>
      </w:pPr>
      <w:r>
        <w:rPr>
          <w:rFonts w:ascii="Times New Roman" w:hAnsi="Times New Roman" w:eastAsia="Times New Roman" w:cs="Times New Roman"/>
          <w:b w:val="0"/>
          <w:bCs w:val="0"/>
          <w:sz w:val="16"/>
          <w:szCs w:val="16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16"/>
          <w:szCs w:val="16"/>
          <w:highlight w:val="none"/>
        </w:rPr>
      </w:r>
      <w:r>
        <w:rPr>
          <w:sz w:val="16"/>
          <w:szCs w:val="16"/>
        </w:rPr>
      </w:r>
    </w:p>
    <w:p>
      <w:pPr>
        <w:ind w:left="0" w:right="0" w:firstLine="1134"/>
        <w:jc w:val="both"/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t xml:space="preserve">Economia de Recursos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: Tanto para a administração municipal quanto para os empreendedores, a Licença Única representa uma economia de recursos, tanto financeiros quanto humanos. Menos tempo gasto em processos burocráticos significa mais recursos dispo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níveis para atividades que promovam o desenvolvimento sustentável do município.</w:t>
      </w:r>
      <w:r/>
    </w:p>
    <w:p>
      <w:pPr>
        <w:ind w:left="0" w:right="0" w:firstLine="1134"/>
        <w:jc w:val="both"/>
        <w:rPr>
          <w:sz w:val="16"/>
          <w:szCs w:val="16"/>
        </w:rPr>
      </w:pPr>
      <w:r>
        <w:rPr>
          <w:rFonts w:ascii="Times New Roman" w:hAnsi="Times New Roman" w:eastAsia="Times New Roman" w:cs="Times New Roman"/>
          <w:b w:val="0"/>
          <w:bCs w:val="0"/>
          <w:sz w:val="16"/>
          <w:szCs w:val="16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16"/>
          <w:szCs w:val="16"/>
          <w:highlight w:val="none"/>
        </w:rPr>
      </w:r>
      <w:r>
        <w:rPr>
          <w:sz w:val="16"/>
          <w:szCs w:val="16"/>
        </w:rPr>
      </w:r>
    </w:p>
    <w:p>
      <w:pPr>
        <w:ind w:left="0" w:right="0" w:firstLine="1134"/>
        <w:jc w:val="both"/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t xml:space="preserve">Fomento ao Desenvolvimento Sustentável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: A agilidade proporcionada pela Licença Única pode atrair investimentos para a região, estimulando o desenvolvimento econômico de maneira sustentável. Empreendimentos que estejam de acordo com as normas ambienta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is poderão ser implementados mais rapidamente, contribuindo para a geração de empregos e renda local.</w:t>
      </w:r>
      <w:r/>
    </w:p>
    <w:p>
      <w:pPr>
        <w:ind w:left="0" w:right="0" w:firstLine="1134"/>
        <w:jc w:val="both"/>
        <w:rPr>
          <w:sz w:val="16"/>
          <w:szCs w:val="16"/>
        </w:rPr>
      </w:pPr>
      <w:r>
        <w:rPr>
          <w:rFonts w:ascii="Times New Roman" w:hAnsi="Times New Roman" w:eastAsia="Times New Roman" w:cs="Times New Roman"/>
          <w:b w:val="0"/>
          <w:bCs w:val="0"/>
          <w:sz w:val="16"/>
          <w:szCs w:val="16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16"/>
          <w:szCs w:val="16"/>
          <w:highlight w:val="none"/>
        </w:rPr>
      </w:r>
      <w:r>
        <w:rPr>
          <w:sz w:val="16"/>
          <w:szCs w:val="16"/>
        </w:rPr>
      </w:r>
    </w:p>
    <w:p>
      <w:pPr>
        <w:ind w:left="0" w:right="0" w:firstLine="1134"/>
        <w:jc w:val="both"/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t xml:space="preserve">Monitoramento e Controle Eficientes: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 A Licença Única permite um controle mais eficiente por parte das autoridades ambientais, já que todas as fases do empreendimento são avaliadas de forma integrada. Isso facilita a identificação de possíveis impacto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s ambientais e a implementação de medidas de mitigação adequadas.</w:t>
      </w:r>
      <w:r/>
    </w:p>
    <w:p>
      <w:pPr>
        <w:ind w:left="0" w:right="0" w:firstLine="1134"/>
        <w:jc w:val="both"/>
        <w:rPr>
          <w:sz w:val="16"/>
          <w:szCs w:val="16"/>
        </w:rPr>
      </w:pPr>
      <w:r>
        <w:rPr>
          <w:rFonts w:ascii="Times New Roman" w:hAnsi="Times New Roman" w:eastAsia="Times New Roman" w:cs="Times New Roman"/>
          <w:b w:val="0"/>
          <w:bCs w:val="0"/>
          <w:sz w:val="16"/>
          <w:szCs w:val="16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16"/>
          <w:szCs w:val="16"/>
          <w:highlight w:val="none"/>
        </w:rPr>
      </w:r>
      <w:r>
        <w:rPr>
          <w:sz w:val="16"/>
          <w:szCs w:val="16"/>
        </w:rPr>
      </w:r>
    </w:p>
    <w:p>
      <w:pPr>
        <w:ind w:left="0" w:right="0" w:firstLine="1134"/>
        <w:jc w:val="both"/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t xml:space="preserve">Transparência e Participação Pública: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 A simplificação do processo de licenciamento também pode facilitar a compreensão das etapas pelos cidadãos interessados e incentivar a participação pública. A população terá mais facilidade em entender as implica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ções ambientais dos empreendimentos e em apresentar suas opiniões e preocupações.</w:t>
      </w:r>
      <w:r/>
    </w:p>
    <w:p>
      <w:pPr>
        <w:ind w:left="0" w:right="0" w:firstLine="1134"/>
        <w:jc w:val="both"/>
        <w:rPr>
          <w:sz w:val="16"/>
          <w:szCs w:val="16"/>
        </w:rPr>
      </w:pPr>
      <w:r>
        <w:rPr>
          <w:rFonts w:ascii="Times New Roman" w:hAnsi="Times New Roman" w:eastAsia="Times New Roman" w:cs="Times New Roman"/>
          <w:b w:val="0"/>
          <w:bCs w:val="0"/>
          <w:sz w:val="16"/>
          <w:szCs w:val="16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16"/>
          <w:szCs w:val="16"/>
          <w:highlight w:val="none"/>
        </w:rPr>
      </w:r>
      <w:r>
        <w:rPr>
          <w:sz w:val="16"/>
          <w:szCs w:val="16"/>
        </w:rPr>
      </w:r>
    </w:p>
    <w:p>
      <w:pPr>
        <w:ind w:left="0" w:right="0" w:firstLine="1134"/>
        <w:jc w:val="both"/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t xml:space="preserve">Redução de Conflitos Jurídicos: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 Processos de licenciamento complexos podem levar a conflitos jurídicos e atrasos nos projetos. A Licença Única pode contribuir para reduzir esses conflitos, uma vez que oferece uma visão mais clara e integrada das obri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gações e dos requisitos a serem cumpridos.</w:t>
      </w:r>
      <w:r/>
    </w:p>
    <w:p>
      <w:pPr>
        <w:ind w:left="0" w:right="0" w:firstLine="1134"/>
        <w:jc w:val="both"/>
        <w:rPr>
          <w:sz w:val="16"/>
          <w:szCs w:val="16"/>
        </w:rPr>
      </w:pPr>
      <w:r>
        <w:rPr>
          <w:rFonts w:ascii="Times New Roman" w:hAnsi="Times New Roman" w:eastAsia="Times New Roman" w:cs="Times New Roman"/>
          <w:b w:val="0"/>
          <w:bCs w:val="0"/>
          <w:sz w:val="16"/>
          <w:szCs w:val="16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16"/>
          <w:szCs w:val="16"/>
          <w:highlight w:val="none"/>
        </w:rPr>
      </w:r>
      <w:r>
        <w:rPr>
          <w:sz w:val="16"/>
          <w:szCs w:val="16"/>
        </w:rPr>
      </w:r>
    </w:p>
    <w:p>
      <w:pPr>
        <w:ind w:left="0" w:right="0" w:firstLine="1134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E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m resumo, a implementação da Licença Única no projeto de licenciamento ambiental do município de Canguçu pode trazer diversos benefícios, desde a agilização dos processos até o estímulo ao desenvolvimento econômico sustentável. No entanto, é importante gar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antir que a implementação seja feita de maneira cuidadosa, assegurando que todos os aspectos ambientais sejam devidamente considerados e que haja um monitoramento contínuo para garantir a conformidade das atividades licenciadas.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sectPr>
      <w:headerReference w:type="default" r:id="rId8"/>
      <w:footerReference w:type="default" r:id="rId9"/>
      <w:footnotePr/>
      <w:endnotePr/>
      <w:type w:val="nextPage"/>
      <w:pgSz w:w="11907" w:h="16840" w:orient="portrait"/>
      <w:pgMar w:top="1417" w:right="1701" w:bottom="1417" w:left="1701" w:header="720" w:footer="113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ell MT">
    <w:panose1 w:val="020206030504050203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3"/>
      <w:jc w:val="center"/>
    </w:pPr>
    <w:r>
      <w:rPr>
        <w:b/>
      </w:rPr>
      <w:t xml:space="preserve">“DOE SANGUE, DOE ÓRGÃOS, SALVE UMA VIDA!</w:t>
    </w:r>
    <w:r>
      <w:rPr>
        <w:b/>
      </w:rPr>
      <w:t xml:space="preserve"> 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  <w:tbl>
    <w:tblPr>
      <w:tblW w:w="0" w:type="auto"/>
      <w:jc w:val="center"/>
      <w:tblLook w:val="04A0" w:firstRow="1" w:lastRow="0" w:firstColumn="1" w:lastColumn="0" w:noHBand="0" w:noVBand="1"/>
    </w:tblPr>
    <w:tblGrid>
      <w:gridCol w:w="1676"/>
      <w:gridCol w:w="5568"/>
    </w:tblGrid>
    <w:tr>
      <w:trPr>
        <w:jc w:val="center"/>
      </w:trPr>
      <w:tc>
        <w:tcPr>
          <w:tcW w:w="0" w:type="auto"/>
          <w:vAlign w:val="center"/>
          <w:textDirection w:val="lrTb"/>
          <w:noWrap w:val="false"/>
        </w:tcPr>
        <w:p>
          <w:pPr>
            <w:ind w:right="290"/>
            <w:jc w:val="center"/>
          </w:pPr>
          <w:r>
            <w:rPr>
              <w:lang w:eastAsia="pt-BR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723900" cy="742950"/>
                    <wp:effectExtent l="19050" t="0" r="0" b="0"/>
                    <wp:docPr id="1" name="_x0000_i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945719587" name="_x0000_i0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723899" cy="7429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width:57.00pt;height:58.50pt;mso-wrap-distance-left:0.00pt;mso-wrap-distance-top:0.00pt;mso-wrap-distance-right:0.00pt;mso-wrap-distance-bottom:0.00pt;" stroked="f" strokeweight="0.75pt">
                    <v:path textboxrect="0,0,0,0"/>
                    <v:imagedata r:id="rId1" o:title=""/>
                  </v:shape>
                </w:pict>
              </mc:Fallback>
            </mc:AlternateContent>
          </w:r>
          <w:r/>
        </w:p>
        <w:p>
          <w:pPr>
            <w:pStyle w:val="760"/>
            <w:jc w:val="center"/>
            <w:rPr>
              <w:rFonts w:ascii="Bell MT" w:hAnsi="Bell MT"/>
              <w:sz w:val="22"/>
            </w:rPr>
          </w:pP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</w:p>
      </w:tc>
      <w:tc>
        <w:tcPr>
          <w:tcW w:w="0" w:type="auto"/>
          <w:vAlign w:val="center"/>
          <w:textDirection w:val="lrTb"/>
          <w:noWrap w:val="false"/>
        </w:tcPr>
        <w:p>
          <w:pPr>
            <w:pStyle w:val="760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 xml:space="preserve">Câmara Municipal</w:t>
          </w:r>
          <w:r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 xml:space="preserve">Canguçu</w:t>
          </w:r>
          <w:r>
            <w:rPr>
              <w:rFonts w:ascii="Bell MT" w:hAnsi="Bell MT"/>
              <w:b/>
              <w:sz w:val="40"/>
              <w:szCs w:val="40"/>
            </w:rPr>
          </w:r>
          <w:r>
            <w:rPr>
              <w:rFonts w:ascii="Bell MT" w:hAnsi="Bell MT"/>
              <w:b/>
              <w:sz w:val="40"/>
              <w:szCs w:val="40"/>
            </w:rPr>
          </w:r>
        </w:p>
        <w:p>
          <w:pPr>
            <w:pStyle w:val="760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 xml:space="preserve">Estado do Rio Grande do Sul</w:t>
          </w:r>
          <w:r>
            <w:rPr>
              <w:rFonts w:ascii="Bell MT" w:hAnsi="Bell MT"/>
              <w:sz w:val="40"/>
              <w:szCs w:val="40"/>
            </w:rPr>
          </w:r>
          <w:r>
            <w:rPr>
              <w:rFonts w:ascii="Bell MT" w:hAnsi="Bell MT"/>
              <w:sz w:val="40"/>
              <w:szCs w:val="40"/>
            </w:rPr>
          </w:r>
        </w:p>
      </w:tc>
    </w:tr>
  </w:tbl>
  <w:p>
    <w:pPr>
      <w:jc w:val="center"/>
    </w:pPr>
    <w:r/>
    <w:r/>
  </w:p>
  <w:p>
    <w:pPr>
      <w:jc w:val="center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2">
    <w:name w:val="Heading 1"/>
    <w:basedOn w:val="909"/>
    <w:next w:val="909"/>
    <w:link w:val="73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3">
    <w:name w:val="Heading 1 Char"/>
    <w:basedOn w:val="910"/>
    <w:link w:val="732"/>
    <w:uiPriority w:val="9"/>
    <w:rPr>
      <w:rFonts w:ascii="Arial" w:hAnsi="Arial" w:eastAsia="Arial" w:cs="Arial"/>
      <w:sz w:val="40"/>
      <w:szCs w:val="40"/>
    </w:rPr>
  </w:style>
  <w:style w:type="paragraph" w:styleId="734">
    <w:name w:val="Heading 2"/>
    <w:basedOn w:val="909"/>
    <w:next w:val="909"/>
    <w:link w:val="73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5">
    <w:name w:val="Heading 2 Char"/>
    <w:basedOn w:val="910"/>
    <w:link w:val="734"/>
    <w:uiPriority w:val="9"/>
    <w:rPr>
      <w:rFonts w:ascii="Arial" w:hAnsi="Arial" w:eastAsia="Arial" w:cs="Arial"/>
      <w:sz w:val="34"/>
    </w:rPr>
  </w:style>
  <w:style w:type="paragraph" w:styleId="736">
    <w:name w:val="Heading 3"/>
    <w:basedOn w:val="909"/>
    <w:next w:val="909"/>
    <w:link w:val="73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7">
    <w:name w:val="Heading 3 Char"/>
    <w:basedOn w:val="910"/>
    <w:link w:val="736"/>
    <w:uiPriority w:val="9"/>
    <w:rPr>
      <w:rFonts w:ascii="Arial" w:hAnsi="Arial" w:eastAsia="Arial" w:cs="Arial"/>
      <w:sz w:val="30"/>
      <w:szCs w:val="30"/>
    </w:rPr>
  </w:style>
  <w:style w:type="paragraph" w:styleId="738">
    <w:name w:val="Heading 4"/>
    <w:basedOn w:val="909"/>
    <w:next w:val="909"/>
    <w:link w:val="73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9">
    <w:name w:val="Heading 4 Char"/>
    <w:basedOn w:val="910"/>
    <w:link w:val="738"/>
    <w:uiPriority w:val="9"/>
    <w:rPr>
      <w:rFonts w:ascii="Arial" w:hAnsi="Arial" w:eastAsia="Arial" w:cs="Arial"/>
      <w:b/>
      <w:bCs/>
      <w:sz w:val="26"/>
      <w:szCs w:val="26"/>
    </w:rPr>
  </w:style>
  <w:style w:type="paragraph" w:styleId="740">
    <w:name w:val="Heading 5"/>
    <w:basedOn w:val="909"/>
    <w:next w:val="909"/>
    <w:link w:val="74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1">
    <w:name w:val="Heading 5 Char"/>
    <w:basedOn w:val="910"/>
    <w:link w:val="740"/>
    <w:uiPriority w:val="9"/>
    <w:rPr>
      <w:rFonts w:ascii="Arial" w:hAnsi="Arial" w:eastAsia="Arial" w:cs="Arial"/>
      <w:b/>
      <w:bCs/>
      <w:sz w:val="24"/>
      <w:szCs w:val="24"/>
    </w:rPr>
  </w:style>
  <w:style w:type="paragraph" w:styleId="742">
    <w:name w:val="Heading 6"/>
    <w:basedOn w:val="909"/>
    <w:next w:val="909"/>
    <w:link w:val="74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3">
    <w:name w:val="Heading 6 Char"/>
    <w:basedOn w:val="910"/>
    <w:link w:val="742"/>
    <w:uiPriority w:val="9"/>
    <w:rPr>
      <w:rFonts w:ascii="Arial" w:hAnsi="Arial" w:eastAsia="Arial" w:cs="Arial"/>
      <w:b/>
      <w:bCs/>
      <w:sz w:val="22"/>
      <w:szCs w:val="22"/>
    </w:rPr>
  </w:style>
  <w:style w:type="paragraph" w:styleId="744">
    <w:name w:val="Heading 7"/>
    <w:basedOn w:val="909"/>
    <w:next w:val="909"/>
    <w:link w:val="74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5">
    <w:name w:val="Heading 7 Char"/>
    <w:basedOn w:val="910"/>
    <w:link w:val="74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6">
    <w:name w:val="Heading 8"/>
    <w:basedOn w:val="909"/>
    <w:next w:val="909"/>
    <w:link w:val="74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7">
    <w:name w:val="Heading 8 Char"/>
    <w:basedOn w:val="910"/>
    <w:link w:val="746"/>
    <w:uiPriority w:val="9"/>
    <w:rPr>
      <w:rFonts w:ascii="Arial" w:hAnsi="Arial" w:eastAsia="Arial" w:cs="Arial"/>
      <w:i/>
      <w:iCs/>
      <w:sz w:val="22"/>
      <w:szCs w:val="22"/>
    </w:rPr>
  </w:style>
  <w:style w:type="paragraph" w:styleId="748">
    <w:name w:val="Heading 9"/>
    <w:basedOn w:val="909"/>
    <w:next w:val="909"/>
    <w:link w:val="74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9">
    <w:name w:val="Heading 9 Char"/>
    <w:basedOn w:val="910"/>
    <w:link w:val="748"/>
    <w:uiPriority w:val="9"/>
    <w:rPr>
      <w:rFonts w:ascii="Arial" w:hAnsi="Arial" w:eastAsia="Arial" w:cs="Arial"/>
      <w:i/>
      <w:iCs/>
      <w:sz w:val="21"/>
      <w:szCs w:val="21"/>
    </w:rPr>
  </w:style>
  <w:style w:type="paragraph" w:styleId="750">
    <w:name w:val="List Paragraph"/>
    <w:basedOn w:val="909"/>
    <w:uiPriority w:val="34"/>
    <w:qFormat/>
    <w:pPr>
      <w:contextualSpacing/>
      <w:ind w:left="720"/>
    </w:pPr>
  </w:style>
  <w:style w:type="paragraph" w:styleId="751">
    <w:name w:val="No Spacing"/>
    <w:uiPriority w:val="1"/>
    <w:qFormat/>
    <w:pPr>
      <w:spacing w:before="0" w:after="0" w:line="240" w:lineRule="auto"/>
    </w:pPr>
  </w:style>
  <w:style w:type="paragraph" w:styleId="752">
    <w:name w:val="Title"/>
    <w:basedOn w:val="909"/>
    <w:next w:val="909"/>
    <w:link w:val="7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3">
    <w:name w:val="Title Char"/>
    <w:basedOn w:val="910"/>
    <w:link w:val="752"/>
    <w:uiPriority w:val="10"/>
    <w:rPr>
      <w:sz w:val="48"/>
      <w:szCs w:val="48"/>
    </w:rPr>
  </w:style>
  <w:style w:type="paragraph" w:styleId="754">
    <w:name w:val="Subtitle"/>
    <w:basedOn w:val="909"/>
    <w:next w:val="909"/>
    <w:link w:val="755"/>
    <w:uiPriority w:val="11"/>
    <w:qFormat/>
    <w:pPr>
      <w:spacing w:before="200" w:after="200"/>
    </w:pPr>
    <w:rPr>
      <w:sz w:val="24"/>
      <w:szCs w:val="24"/>
    </w:rPr>
  </w:style>
  <w:style w:type="character" w:styleId="755">
    <w:name w:val="Subtitle Char"/>
    <w:basedOn w:val="910"/>
    <w:link w:val="754"/>
    <w:uiPriority w:val="11"/>
    <w:rPr>
      <w:sz w:val="24"/>
      <w:szCs w:val="24"/>
    </w:rPr>
  </w:style>
  <w:style w:type="paragraph" w:styleId="756">
    <w:name w:val="Quote"/>
    <w:basedOn w:val="909"/>
    <w:next w:val="909"/>
    <w:link w:val="757"/>
    <w:uiPriority w:val="29"/>
    <w:qFormat/>
    <w:pPr>
      <w:ind w:left="720" w:right="720"/>
    </w:pPr>
    <w:rPr>
      <w:i/>
    </w:rPr>
  </w:style>
  <w:style w:type="character" w:styleId="757">
    <w:name w:val="Quote Char"/>
    <w:link w:val="756"/>
    <w:uiPriority w:val="29"/>
    <w:rPr>
      <w:i/>
    </w:rPr>
  </w:style>
  <w:style w:type="paragraph" w:styleId="758">
    <w:name w:val="Intense Quote"/>
    <w:basedOn w:val="909"/>
    <w:next w:val="909"/>
    <w:link w:val="7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9">
    <w:name w:val="Intense Quote Char"/>
    <w:link w:val="758"/>
    <w:uiPriority w:val="30"/>
    <w:rPr>
      <w:i/>
    </w:rPr>
  </w:style>
  <w:style w:type="paragraph" w:styleId="760">
    <w:name w:val="Header"/>
    <w:basedOn w:val="909"/>
    <w:link w:val="7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1">
    <w:name w:val="Header Char"/>
    <w:basedOn w:val="910"/>
    <w:link w:val="760"/>
    <w:uiPriority w:val="99"/>
  </w:style>
  <w:style w:type="character" w:styleId="762">
    <w:name w:val="Footer Char"/>
    <w:basedOn w:val="910"/>
    <w:link w:val="913"/>
    <w:uiPriority w:val="99"/>
  </w:style>
  <w:style w:type="paragraph" w:styleId="763">
    <w:name w:val="Caption"/>
    <w:basedOn w:val="909"/>
    <w:next w:val="90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4">
    <w:name w:val="Caption Char"/>
    <w:basedOn w:val="763"/>
    <w:link w:val="913"/>
    <w:uiPriority w:val="99"/>
  </w:style>
  <w:style w:type="table" w:styleId="765">
    <w:name w:val="Table Grid"/>
    <w:basedOn w:val="91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6">
    <w:name w:val="Table Grid Light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7">
    <w:name w:val="Plain Table 1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8">
    <w:name w:val="Plain Table 2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9">
    <w:name w:val="Plain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0">
    <w:name w:val="Plain Table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Plain Table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2">
    <w:name w:val="Grid Table 1 Light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4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4">
    <w:name w:val="Grid Table 4 - Accent 1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5">
    <w:name w:val="Grid Table 4 - Accent 2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Grid Table 4 - Accent 3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7">
    <w:name w:val="Grid Table 4 - Accent 4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Grid Table 4 - Accent 5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9">
    <w:name w:val="Grid Table 4 - Accent 6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0">
    <w:name w:val="Grid Table 5 Dark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1">
    <w:name w:val="Grid Table 5 Dark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4">
    <w:name w:val="Grid Table 5 Dark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7">
    <w:name w:val="Grid Table 6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8">
    <w:name w:val="Grid Table 6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9">
    <w:name w:val="Grid Table 6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0">
    <w:name w:val="Grid Table 6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1">
    <w:name w:val="Grid Table 6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2">
    <w:name w:val="Grid Table 6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3">
    <w:name w:val="Grid Table 6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4">
    <w:name w:val="Grid Table 7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9">
    <w:name w:val="List Table 2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0">
    <w:name w:val="List Table 2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1">
    <w:name w:val="List Table 2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2">
    <w:name w:val="List Table 2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3">
    <w:name w:val="List Table 2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4">
    <w:name w:val="List Table 2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5">
    <w:name w:val="List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5 Dark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6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7">
    <w:name w:val="List Table 6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8">
    <w:name w:val="List Table 6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9">
    <w:name w:val="List Table 6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0">
    <w:name w:val="List Table 6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1">
    <w:name w:val="List Table 6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2">
    <w:name w:val="List Table 6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3">
    <w:name w:val="List Table 7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4">
    <w:name w:val="List Table 7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5">
    <w:name w:val="List Table 7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6">
    <w:name w:val="List Table 7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7">
    <w:name w:val="List Table 7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8">
    <w:name w:val="List Table 7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9">
    <w:name w:val="List Table 7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0">
    <w:name w:val="Lined - Accent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1">
    <w:name w:val="Lined - Accent 1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2">
    <w:name w:val="Lined - Accent 2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3">
    <w:name w:val="Lined - Accent 3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4">
    <w:name w:val="Lined - Accent 4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5">
    <w:name w:val="Lined - Accent 5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6">
    <w:name w:val="Lined - Accent 6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7">
    <w:name w:val="Bordered &amp; Lined - Accent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8">
    <w:name w:val="Bordered &amp; Lined - Accent 1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9">
    <w:name w:val="Bordered &amp; Lined - Accent 2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0">
    <w:name w:val="Bordered &amp; Lined - Accent 3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1">
    <w:name w:val="Bordered &amp; Lined - Accent 4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2">
    <w:name w:val="Bordered &amp; Lined - Accent 5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3">
    <w:name w:val="Bordered &amp; Lined - Accent 6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4">
    <w:name w:val="Bordered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5">
    <w:name w:val="Bordered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6">
    <w:name w:val="Bordered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7">
    <w:name w:val="Bordered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8">
    <w:name w:val="Bordered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9">
    <w:name w:val="Bordered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0">
    <w:name w:val="Bordered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1">
    <w:name w:val="Hyperlink"/>
    <w:uiPriority w:val="99"/>
    <w:unhideWhenUsed/>
    <w:rPr>
      <w:color w:val="0000ff" w:themeColor="hyperlink"/>
      <w:u w:val="single"/>
    </w:rPr>
  </w:style>
  <w:style w:type="paragraph" w:styleId="892">
    <w:name w:val="footnote text"/>
    <w:basedOn w:val="909"/>
    <w:link w:val="893"/>
    <w:uiPriority w:val="99"/>
    <w:semiHidden/>
    <w:unhideWhenUsed/>
    <w:pPr>
      <w:spacing w:after="40" w:line="240" w:lineRule="auto"/>
    </w:pPr>
    <w:rPr>
      <w:sz w:val="18"/>
    </w:rPr>
  </w:style>
  <w:style w:type="character" w:styleId="893">
    <w:name w:val="Footnote Text Char"/>
    <w:link w:val="892"/>
    <w:uiPriority w:val="99"/>
    <w:rPr>
      <w:sz w:val="18"/>
    </w:rPr>
  </w:style>
  <w:style w:type="character" w:styleId="894">
    <w:name w:val="footnote reference"/>
    <w:basedOn w:val="910"/>
    <w:uiPriority w:val="99"/>
    <w:unhideWhenUsed/>
    <w:rPr>
      <w:vertAlign w:val="superscript"/>
    </w:rPr>
  </w:style>
  <w:style w:type="paragraph" w:styleId="895">
    <w:name w:val="endnote text"/>
    <w:basedOn w:val="909"/>
    <w:link w:val="896"/>
    <w:uiPriority w:val="99"/>
    <w:semiHidden/>
    <w:unhideWhenUsed/>
    <w:pPr>
      <w:spacing w:after="0" w:line="240" w:lineRule="auto"/>
    </w:pPr>
    <w:rPr>
      <w:sz w:val="20"/>
    </w:rPr>
  </w:style>
  <w:style w:type="character" w:styleId="896">
    <w:name w:val="Endnote Text Char"/>
    <w:link w:val="895"/>
    <w:uiPriority w:val="99"/>
    <w:rPr>
      <w:sz w:val="20"/>
    </w:rPr>
  </w:style>
  <w:style w:type="character" w:styleId="897">
    <w:name w:val="endnote reference"/>
    <w:basedOn w:val="910"/>
    <w:uiPriority w:val="99"/>
    <w:semiHidden/>
    <w:unhideWhenUsed/>
    <w:rPr>
      <w:vertAlign w:val="superscript"/>
    </w:rPr>
  </w:style>
  <w:style w:type="paragraph" w:styleId="898">
    <w:name w:val="toc 1"/>
    <w:basedOn w:val="909"/>
    <w:next w:val="909"/>
    <w:uiPriority w:val="39"/>
    <w:unhideWhenUsed/>
    <w:pPr>
      <w:ind w:left="0" w:right="0" w:firstLine="0"/>
      <w:spacing w:after="57"/>
    </w:pPr>
  </w:style>
  <w:style w:type="paragraph" w:styleId="899">
    <w:name w:val="toc 2"/>
    <w:basedOn w:val="909"/>
    <w:next w:val="909"/>
    <w:uiPriority w:val="39"/>
    <w:unhideWhenUsed/>
    <w:pPr>
      <w:ind w:left="283" w:right="0" w:firstLine="0"/>
      <w:spacing w:after="57"/>
    </w:pPr>
  </w:style>
  <w:style w:type="paragraph" w:styleId="900">
    <w:name w:val="toc 3"/>
    <w:basedOn w:val="909"/>
    <w:next w:val="909"/>
    <w:uiPriority w:val="39"/>
    <w:unhideWhenUsed/>
    <w:pPr>
      <w:ind w:left="567" w:right="0" w:firstLine="0"/>
      <w:spacing w:after="57"/>
    </w:pPr>
  </w:style>
  <w:style w:type="paragraph" w:styleId="901">
    <w:name w:val="toc 4"/>
    <w:basedOn w:val="909"/>
    <w:next w:val="909"/>
    <w:uiPriority w:val="39"/>
    <w:unhideWhenUsed/>
    <w:pPr>
      <w:ind w:left="850" w:right="0" w:firstLine="0"/>
      <w:spacing w:after="57"/>
    </w:pPr>
  </w:style>
  <w:style w:type="paragraph" w:styleId="902">
    <w:name w:val="toc 5"/>
    <w:basedOn w:val="909"/>
    <w:next w:val="909"/>
    <w:uiPriority w:val="39"/>
    <w:unhideWhenUsed/>
    <w:pPr>
      <w:ind w:left="1134" w:right="0" w:firstLine="0"/>
      <w:spacing w:after="57"/>
    </w:pPr>
  </w:style>
  <w:style w:type="paragraph" w:styleId="903">
    <w:name w:val="toc 6"/>
    <w:basedOn w:val="909"/>
    <w:next w:val="909"/>
    <w:uiPriority w:val="39"/>
    <w:unhideWhenUsed/>
    <w:pPr>
      <w:ind w:left="1417" w:right="0" w:firstLine="0"/>
      <w:spacing w:after="57"/>
    </w:pPr>
  </w:style>
  <w:style w:type="paragraph" w:styleId="904">
    <w:name w:val="toc 7"/>
    <w:basedOn w:val="909"/>
    <w:next w:val="909"/>
    <w:uiPriority w:val="39"/>
    <w:unhideWhenUsed/>
    <w:pPr>
      <w:ind w:left="1701" w:right="0" w:firstLine="0"/>
      <w:spacing w:after="57"/>
    </w:pPr>
  </w:style>
  <w:style w:type="paragraph" w:styleId="905">
    <w:name w:val="toc 8"/>
    <w:basedOn w:val="909"/>
    <w:next w:val="909"/>
    <w:uiPriority w:val="39"/>
    <w:unhideWhenUsed/>
    <w:pPr>
      <w:ind w:left="1984" w:right="0" w:firstLine="0"/>
      <w:spacing w:after="57"/>
    </w:pPr>
  </w:style>
  <w:style w:type="paragraph" w:styleId="906">
    <w:name w:val="toc 9"/>
    <w:basedOn w:val="909"/>
    <w:next w:val="909"/>
    <w:uiPriority w:val="39"/>
    <w:unhideWhenUsed/>
    <w:pPr>
      <w:ind w:left="2268" w:right="0" w:firstLine="0"/>
      <w:spacing w:after="57"/>
    </w:pPr>
  </w:style>
  <w:style w:type="paragraph" w:styleId="907">
    <w:name w:val="TOC Heading"/>
    <w:uiPriority w:val="39"/>
    <w:unhideWhenUsed/>
  </w:style>
  <w:style w:type="paragraph" w:styleId="908">
    <w:name w:val="table of figures"/>
    <w:basedOn w:val="909"/>
    <w:next w:val="909"/>
    <w:uiPriority w:val="99"/>
    <w:unhideWhenUsed/>
    <w:pPr>
      <w:spacing w:after="0" w:afterAutospacing="0"/>
    </w:pPr>
  </w:style>
  <w:style w:type="paragraph" w:styleId="909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0" w:default="1">
    <w:name w:val="Default Paragraph Font"/>
    <w:uiPriority w:val="1"/>
    <w:semiHidden/>
    <w:unhideWhenUsed/>
  </w:style>
  <w:style w:type="table" w:styleId="91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2" w:default="1">
    <w:name w:val="No List"/>
    <w:uiPriority w:val="99"/>
    <w:semiHidden/>
    <w:unhideWhenUsed/>
  </w:style>
  <w:style w:type="paragraph" w:styleId="913">
    <w:name w:val="Footer"/>
    <w:basedOn w:val="909"/>
    <w:link w:val="914"/>
    <w:semiHidden/>
    <w:pPr>
      <w:tabs>
        <w:tab w:val="center" w:pos="4320" w:leader="none"/>
        <w:tab w:val="right" w:pos="8640" w:leader="none"/>
      </w:tabs>
    </w:pPr>
  </w:style>
  <w:style w:type="character" w:styleId="914" w:customStyle="1">
    <w:name w:val="Rodapé Char"/>
    <w:basedOn w:val="910"/>
    <w:link w:val="913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5">
    <w:name w:val="Normal (Web)"/>
    <w:basedOn w:val="909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916">
    <w:name w:val="Balloon Text"/>
    <w:basedOn w:val="909"/>
    <w:link w:val="917"/>
    <w:uiPriority w:val="99"/>
    <w:semiHidden/>
    <w:unhideWhenUsed/>
    <w:rPr>
      <w:rFonts w:ascii="Tahoma" w:hAnsi="Tahoma" w:cs="Tahoma"/>
      <w:sz w:val="16"/>
      <w:szCs w:val="16"/>
    </w:rPr>
  </w:style>
  <w:style w:type="character" w:styleId="917" w:customStyle="1">
    <w:name w:val="Texto de balão Char"/>
    <w:basedOn w:val="910"/>
    <w:link w:val="916"/>
    <w:uiPriority w:val="99"/>
    <w:semiHidden/>
    <w:rPr>
      <w:rFonts w:ascii="Tahoma" w:hAnsi="Tahoma" w:eastAsia="Times New Roman" w:cs="Tahoma"/>
      <w:sz w:val="16"/>
      <w:szCs w:val="16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revision>13</cp:revision>
  <dcterms:created xsi:type="dcterms:W3CDTF">2023-03-15T13:33:00Z</dcterms:created>
  <dcterms:modified xsi:type="dcterms:W3CDTF">2023-08-14T18:20:27Z</dcterms:modified>
</cp:coreProperties>
</file>